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B213" w14:textId="1F033C8A" w:rsidR="00E6026A" w:rsidRPr="00FF2186" w:rsidRDefault="00FF2186" w:rsidP="00956F8E">
      <w:pPr>
        <w:pStyle w:val="Title"/>
        <w:rPr>
          <w:lang w:val="fr-CA"/>
        </w:rPr>
      </w:pPr>
      <w:r w:rsidRPr="00FF2186">
        <w:rPr>
          <w:lang w:val="fr-CA"/>
        </w:rPr>
        <w:t>Politique</w:t>
      </w:r>
      <w:r>
        <w:rPr>
          <w:lang w:val="fr-CA"/>
        </w:rPr>
        <w:t xml:space="preserve"> </w:t>
      </w:r>
      <w:r w:rsidRPr="00FF2186">
        <w:rPr>
          <w:lang w:val="fr-CA"/>
        </w:rPr>
        <w:t>de confidentialité</w:t>
      </w:r>
      <w:r>
        <w:rPr>
          <w:lang w:val="fr-CA"/>
        </w:rPr>
        <w:t xml:space="preserve"> du CAÉB</w:t>
      </w:r>
      <w:r w:rsidRPr="00FF2186">
        <w:rPr>
          <w:lang w:val="fr-CA"/>
        </w:rPr>
        <w:t xml:space="preserve"> </w:t>
      </w:r>
    </w:p>
    <w:p w14:paraId="4A7D8A3A" w14:textId="6399D78F" w:rsidR="00BA1761" w:rsidRPr="00FF2186" w:rsidRDefault="00BA1761" w:rsidP="00E6026A">
      <w:pPr>
        <w:rPr>
          <w:lang w:val="fr-CA"/>
        </w:rPr>
      </w:pPr>
      <w:r w:rsidRPr="00FF2186">
        <w:rPr>
          <w:lang w:val="fr-CA"/>
        </w:rPr>
        <w:t>(</w:t>
      </w:r>
      <w:r w:rsidR="00FF2186" w:rsidRPr="00FF2186">
        <w:rPr>
          <w:lang w:val="fr-CA"/>
        </w:rPr>
        <w:t xml:space="preserve">Approuvée par le conseil d’administration le </w:t>
      </w:r>
      <w:r w:rsidR="0013068A">
        <w:rPr>
          <w:lang w:val="fr-CA"/>
        </w:rPr>
        <w:t>13</w:t>
      </w:r>
      <w:r w:rsidR="00A8744F">
        <w:rPr>
          <w:lang w:val="fr-CA"/>
        </w:rPr>
        <w:t> </w:t>
      </w:r>
      <w:r w:rsidR="0013068A">
        <w:rPr>
          <w:lang w:val="fr-CA"/>
        </w:rPr>
        <w:t>avril</w:t>
      </w:r>
      <w:r w:rsidR="00FF2186" w:rsidRPr="00FF2186">
        <w:rPr>
          <w:lang w:val="fr-CA"/>
        </w:rPr>
        <w:t xml:space="preserve"> 2026</w:t>
      </w:r>
      <w:r w:rsidRPr="00FF2186">
        <w:rPr>
          <w:lang w:val="fr-CA"/>
        </w:rPr>
        <w:t>)</w:t>
      </w:r>
    </w:p>
    <w:p w14:paraId="7ECA2101" w14:textId="568787D0" w:rsidR="0042322D" w:rsidRPr="00FF2186" w:rsidRDefault="00FF2186" w:rsidP="0042322D">
      <w:pPr>
        <w:pStyle w:val="Heading1"/>
        <w:rPr>
          <w:lang w:val="fr-CA"/>
        </w:rPr>
      </w:pPr>
      <w:r w:rsidRPr="00FF2186">
        <w:rPr>
          <w:lang w:val="fr-CA"/>
        </w:rPr>
        <w:t>Aperçu</w:t>
      </w:r>
    </w:p>
    <w:p w14:paraId="46C3F8D6" w14:textId="3E387702" w:rsidR="0042322D" w:rsidRPr="00FF2186" w:rsidRDefault="00FF2186" w:rsidP="00BA1761">
      <w:pPr>
        <w:rPr>
          <w:lang w:val="fr-CA"/>
        </w:rPr>
      </w:pPr>
      <w:r w:rsidRPr="00FF2186">
        <w:rPr>
          <w:lang w:val="fr-CA"/>
        </w:rPr>
        <w:t xml:space="preserve">Le Centre d’accès équitable aux bibliothèques (CAÉB) met à </w:t>
      </w:r>
      <w:r>
        <w:rPr>
          <w:lang w:val="fr-CA"/>
        </w:rPr>
        <w:t xml:space="preserve">la </w:t>
      </w:r>
      <w:r w:rsidRPr="00FF2186">
        <w:rPr>
          <w:lang w:val="fr-CA"/>
        </w:rPr>
        <w:t>disposition des</w:t>
      </w:r>
      <w:r>
        <w:rPr>
          <w:lang w:val="fr-CA"/>
        </w:rPr>
        <w:t xml:space="preserve"> personnes incapables de lire les imprimés vivant au Canada des</w:t>
      </w:r>
      <w:r w:rsidRPr="00FF2186">
        <w:rPr>
          <w:lang w:val="fr-CA"/>
        </w:rPr>
        <w:t xml:space="preserve"> documents</w:t>
      </w:r>
      <w:r>
        <w:rPr>
          <w:lang w:val="fr-CA"/>
        </w:rPr>
        <w:t xml:space="preserve"> à lire </w:t>
      </w:r>
      <w:r w:rsidR="0042322D" w:rsidRPr="00FF2186">
        <w:rPr>
          <w:lang w:val="fr-CA"/>
        </w:rPr>
        <w:t>accessible</w:t>
      </w:r>
      <w:r>
        <w:rPr>
          <w:lang w:val="fr-CA"/>
        </w:rPr>
        <w:t>s et des services connexes</w:t>
      </w:r>
      <w:r w:rsidR="0042322D" w:rsidRPr="00FF2186">
        <w:rPr>
          <w:lang w:val="fr-CA"/>
        </w:rPr>
        <w:t>.</w:t>
      </w:r>
    </w:p>
    <w:p w14:paraId="4C789DB5" w14:textId="3DF8CF2C" w:rsidR="007A504E" w:rsidRPr="00FA7387" w:rsidRDefault="00FA7387" w:rsidP="007A504E">
      <w:pPr>
        <w:rPr>
          <w:lang w:val="fr-CA"/>
        </w:rPr>
      </w:pPr>
      <w:r w:rsidRPr="00FA7387">
        <w:rPr>
          <w:lang w:val="fr-CA"/>
        </w:rPr>
        <w:t xml:space="preserve">Le </w:t>
      </w:r>
      <w:r w:rsidR="00FF2186" w:rsidRPr="00FA7387">
        <w:rPr>
          <w:lang w:val="fr-CA"/>
        </w:rPr>
        <w:t xml:space="preserve">CAÉB </w:t>
      </w:r>
      <w:r w:rsidRPr="00FA7387">
        <w:rPr>
          <w:lang w:val="fr-CA"/>
        </w:rPr>
        <w:t>s</w:t>
      </w:r>
      <w:r w:rsidR="00A8744F">
        <w:rPr>
          <w:lang w:val="fr-CA"/>
        </w:rPr>
        <w:t>’</w:t>
      </w:r>
      <w:r w:rsidRPr="00FA7387">
        <w:rPr>
          <w:lang w:val="fr-CA"/>
        </w:rPr>
        <w:t xml:space="preserve">engage à préserver et à protéger la vie privée de ses </w:t>
      </w:r>
      <w:r w:rsidR="00861866">
        <w:rPr>
          <w:lang w:val="fr-CA"/>
        </w:rPr>
        <w:t>utilisateurs</w:t>
      </w:r>
      <w:r w:rsidRPr="00360A1F">
        <w:rPr>
          <w:lang w:val="fr-CA"/>
        </w:rPr>
        <w:t>, y compris</w:t>
      </w:r>
      <w:r>
        <w:rPr>
          <w:lang w:val="fr-CA"/>
        </w:rPr>
        <w:t xml:space="preserve"> et</w:t>
      </w:r>
      <w:r w:rsidRPr="00360A1F">
        <w:rPr>
          <w:lang w:val="fr-CA"/>
        </w:rPr>
        <w:t xml:space="preserve"> sans s</w:t>
      </w:r>
      <w:r>
        <w:rPr>
          <w:lang w:val="fr-CA"/>
        </w:rPr>
        <w:t>’</w:t>
      </w:r>
      <w:r w:rsidRPr="00360A1F">
        <w:rPr>
          <w:lang w:val="fr-CA"/>
        </w:rPr>
        <w:t>y limiter les personnes qui consultent les sites celalibrary.ca ou bibliocaeb.ca et celles qui</w:t>
      </w:r>
      <w:r>
        <w:rPr>
          <w:lang w:val="fr-CA"/>
        </w:rPr>
        <w:t xml:space="preserve"> prennent</w:t>
      </w:r>
      <w:r w:rsidRPr="00360A1F">
        <w:rPr>
          <w:lang w:val="fr-CA"/>
        </w:rPr>
        <w:t xml:space="preserve"> contact</w:t>
      </w:r>
      <w:r>
        <w:rPr>
          <w:lang w:val="fr-CA"/>
        </w:rPr>
        <w:t xml:space="preserve"> avec</w:t>
      </w:r>
      <w:r w:rsidRPr="00360A1F">
        <w:rPr>
          <w:lang w:val="fr-CA"/>
        </w:rPr>
        <w:t xml:space="preserve"> le CAÉB </w:t>
      </w:r>
      <w:r>
        <w:rPr>
          <w:lang w:val="fr-CA"/>
        </w:rPr>
        <w:t>d’une manière quelconque</w:t>
      </w:r>
      <w:r w:rsidRPr="00360A1F">
        <w:rPr>
          <w:lang w:val="fr-CA"/>
        </w:rPr>
        <w:t xml:space="preserve">, y compris les fournisseurs, les commerçants, les contributeurs de contenu et les </w:t>
      </w:r>
      <w:r w:rsidR="00861866">
        <w:rPr>
          <w:lang w:val="fr-CA"/>
        </w:rPr>
        <w:t>utilisateurs</w:t>
      </w:r>
      <w:r w:rsidRPr="00360A1F">
        <w:rPr>
          <w:lang w:val="fr-CA"/>
        </w:rPr>
        <w:t xml:space="preserve"> (</w:t>
      </w:r>
      <w:r>
        <w:rPr>
          <w:lang w:val="fr-CA"/>
        </w:rPr>
        <w:t>les « </w:t>
      </w:r>
      <w:r w:rsidR="00861866">
        <w:rPr>
          <w:lang w:val="fr-CA"/>
        </w:rPr>
        <w:t>utilisateurs</w:t>
      </w:r>
      <w:r>
        <w:rPr>
          <w:lang w:val="fr-CA"/>
        </w:rPr>
        <w:t> »</w:t>
      </w:r>
      <w:r w:rsidRPr="00360A1F">
        <w:rPr>
          <w:lang w:val="fr-CA"/>
        </w:rPr>
        <w:t>)</w:t>
      </w:r>
      <w:r w:rsidR="00D61C8B" w:rsidRPr="00FA7387">
        <w:rPr>
          <w:lang w:val="fr-CA"/>
        </w:rPr>
        <w:t xml:space="preserve">. </w:t>
      </w:r>
    </w:p>
    <w:p w14:paraId="77C2E447" w14:textId="39F469F5" w:rsidR="00052161" w:rsidRPr="00FA7387" w:rsidRDefault="00FA7387" w:rsidP="00BA1761">
      <w:pPr>
        <w:rPr>
          <w:lang w:val="fr-CA"/>
        </w:rPr>
      </w:pPr>
      <w:r w:rsidRPr="00360A1F">
        <w:rPr>
          <w:lang w:val="fr-CA"/>
        </w:rPr>
        <w:t xml:space="preserve">Les </w:t>
      </w:r>
      <w:r w:rsidR="00861866">
        <w:rPr>
          <w:lang w:val="fr-CA"/>
        </w:rPr>
        <w:t>utilisateurs</w:t>
      </w:r>
      <w:r w:rsidR="00861866" w:rsidRPr="00360A1F">
        <w:rPr>
          <w:lang w:val="fr-CA"/>
        </w:rPr>
        <w:t xml:space="preserve"> </w:t>
      </w:r>
      <w:r w:rsidRPr="00360A1F">
        <w:rPr>
          <w:lang w:val="fr-CA"/>
        </w:rPr>
        <w:t xml:space="preserve">admissibles comprennent les personnes </w:t>
      </w:r>
      <w:r>
        <w:rPr>
          <w:lang w:val="fr-CA"/>
        </w:rPr>
        <w:t>incapables de lire les</w:t>
      </w:r>
      <w:r w:rsidRPr="00360A1F">
        <w:rPr>
          <w:lang w:val="fr-CA"/>
        </w:rPr>
        <w:t xml:space="preserve"> imprimés,</w:t>
      </w:r>
      <w:r>
        <w:rPr>
          <w:lang w:val="fr-CA"/>
        </w:rPr>
        <w:t xml:space="preserve"> les employés</w:t>
      </w:r>
      <w:r w:rsidRPr="00360A1F">
        <w:rPr>
          <w:lang w:val="fr-CA"/>
        </w:rPr>
        <w:t xml:space="preserve"> de bibliothèques, les</w:t>
      </w:r>
      <w:r>
        <w:rPr>
          <w:lang w:val="fr-CA"/>
        </w:rPr>
        <w:t xml:space="preserve"> enseignants</w:t>
      </w:r>
      <w:r w:rsidRPr="00360A1F">
        <w:rPr>
          <w:lang w:val="fr-CA"/>
        </w:rPr>
        <w:t xml:space="preserve">, les personnes désignées et les autres professionnels qui soutiennent les personnes </w:t>
      </w:r>
      <w:r>
        <w:rPr>
          <w:lang w:val="fr-CA"/>
        </w:rPr>
        <w:t>incapables de lire les</w:t>
      </w:r>
      <w:r w:rsidRPr="00360A1F">
        <w:rPr>
          <w:lang w:val="fr-CA"/>
        </w:rPr>
        <w:t xml:space="preserve"> imprimés et qui possèdent un compte</w:t>
      </w:r>
      <w:r>
        <w:rPr>
          <w:lang w:val="fr-CA"/>
        </w:rPr>
        <w:t xml:space="preserve"> du</w:t>
      </w:r>
      <w:r w:rsidRPr="00360A1F">
        <w:rPr>
          <w:lang w:val="fr-CA"/>
        </w:rPr>
        <w:t xml:space="preserve"> CAÉB ou</w:t>
      </w:r>
      <w:r>
        <w:rPr>
          <w:lang w:val="fr-CA"/>
        </w:rPr>
        <w:t xml:space="preserve"> qui y</w:t>
      </w:r>
      <w:r w:rsidRPr="00360A1F">
        <w:rPr>
          <w:lang w:val="fr-CA"/>
        </w:rPr>
        <w:t xml:space="preserve"> sont admissibles (</w:t>
      </w:r>
      <w:r>
        <w:rPr>
          <w:lang w:val="fr-CA"/>
        </w:rPr>
        <w:t>les « </w:t>
      </w:r>
      <w:r w:rsidR="00861866">
        <w:rPr>
          <w:lang w:val="fr-CA"/>
        </w:rPr>
        <w:t xml:space="preserve">utilisateurs </w:t>
      </w:r>
      <w:r>
        <w:rPr>
          <w:lang w:val="fr-CA"/>
        </w:rPr>
        <w:t>admissibles »</w:t>
      </w:r>
      <w:r w:rsidRPr="00360A1F">
        <w:rPr>
          <w:lang w:val="fr-CA"/>
        </w:rPr>
        <w:t>)</w:t>
      </w:r>
      <w:r w:rsidR="2A35ADDF" w:rsidRPr="00FA7387">
        <w:rPr>
          <w:lang w:val="fr-CA"/>
        </w:rPr>
        <w:t>.</w:t>
      </w:r>
    </w:p>
    <w:p w14:paraId="2438A5FF" w14:textId="255E8FEB" w:rsidR="00164170" w:rsidRPr="00FA7387" w:rsidRDefault="00FA7387" w:rsidP="00BA1761">
      <w:pPr>
        <w:rPr>
          <w:lang w:val="fr-CA"/>
        </w:rPr>
      </w:pPr>
      <w:r w:rsidRPr="00FA7387">
        <w:rPr>
          <w:lang w:val="fr-CA"/>
        </w:rPr>
        <w:t xml:space="preserve">On entend par contenu tous les articles disponibles </w:t>
      </w:r>
      <w:r>
        <w:rPr>
          <w:lang w:val="fr-CA"/>
        </w:rPr>
        <w:t>par le biais des sites Web</w:t>
      </w:r>
      <w:r w:rsidR="00164170" w:rsidRPr="00FA7387">
        <w:rPr>
          <w:lang w:val="fr-CA"/>
        </w:rPr>
        <w:t xml:space="preserve"> celalibrary.ca </w:t>
      </w:r>
      <w:r>
        <w:rPr>
          <w:lang w:val="fr-CA"/>
        </w:rPr>
        <w:t>et</w:t>
      </w:r>
      <w:r w:rsidR="00164170" w:rsidRPr="00FA7387">
        <w:rPr>
          <w:lang w:val="fr-CA"/>
        </w:rPr>
        <w:t xml:space="preserve"> bibliocaeb.ca,</w:t>
      </w:r>
      <w:r w:rsidRPr="00FA7387">
        <w:rPr>
          <w:lang w:val="fr-CA"/>
        </w:rPr>
        <w:t xml:space="preserve"> </w:t>
      </w:r>
      <w:r w:rsidRPr="001E501D">
        <w:rPr>
          <w:lang w:val="fr-CA"/>
        </w:rPr>
        <w:t>notamment les textes, données, graphiques, photographies, images, fichiers audio et vidéo, logiciels, marques de commerce, marques de service, noms commerciaux, œuvres accessibles et autres docume</w:t>
      </w:r>
      <w:r>
        <w:rPr>
          <w:lang w:val="fr-CA"/>
        </w:rPr>
        <w:t>nts</w:t>
      </w:r>
      <w:r w:rsidR="00164170" w:rsidRPr="00FA7387">
        <w:rPr>
          <w:lang w:val="fr-CA"/>
        </w:rPr>
        <w:t xml:space="preserve"> </w:t>
      </w:r>
      <w:r w:rsidRPr="00FA7387">
        <w:rPr>
          <w:lang w:val="fr-CA"/>
        </w:rPr>
        <w:t>(collectivement les « contenus »).</w:t>
      </w:r>
    </w:p>
    <w:p w14:paraId="218871B7" w14:textId="11926464" w:rsidR="00164170" w:rsidRPr="00FA7387" w:rsidRDefault="00FA7387" w:rsidP="00BA1761">
      <w:pPr>
        <w:rPr>
          <w:lang w:val="fr-CA"/>
        </w:rPr>
      </w:pPr>
      <w:r w:rsidRPr="003658C9">
        <w:rPr>
          <w:lang w:val="fr-CA"/>
        </w:rPr>
        <w:t xml:space="preserve">Les </w:t>
      </w:r>
      <w:r>
        <w:rPr>
          <w:lang w:val="fr-CA"/>
        </w:rPr>
        <w:t xml:space="preserve">œuvres </w:t>
      </w:r>
      <w:r w:rsidRPr="003658C9">
        <w:rPr>
          <w:lang w:val="fr-CA"/>
        </w:rPr>
        <w:t xml:space="preserve">accessibles sont des </w:t>
      </w:r>
      <w:r>
        <w:rPr>
          <w:lang w:val="fr-CA"/>
        </w:rPr>
        <w:t xml:space="preserve">œuvres </w:t>
      </w:r>
      <w:r w:rsidRPr="003658C9">
        <w:rPr>
          <w:lang w:val="fr-CA"/>
        </w:rPr>
        <w:t>protégé</w:t>
      </w:r>
      <w:r>
        <w:rPr>
          <w:lang w:val="fr-CA"/>
        </w:rPr>
        <w:t>e</w:t>
      </w:r>
      <w:r w:rsidRPr="003658C9">
        <w:rPr>
          <w:lang w:val="fr-CA"/>
        </w:rPr>
        <w:t>s par le droit d’auteur mis</w:t>
      </w:r>
      <w:r>
        <w:rPr>
          <w:lang w:val="fr-CA"/>
        </w:rPr>
        <w:t>es</w:t>
      </w:r>
      <w:r w:rsidRPr="003658C9">
        <w:rPr>
          <w:lang w:val="fr-CA"/>
        </w:rPr>
        <w:t xml:space="preserve"> à disposition dans des formats accessibles, et dont l’utilis</w:t>
      </w:r>
      <w:r>
        <w:rPr>
          <w:lang w:val="fr-CA"/>
        </w:rPr>
        <w:t xml:space="preserve">ation est soumise à des </w:t>
      </w:r>
      <w:r w:rsidRPr="003658C9">
        <w:rPr>
          <w:lang w:val="fr-CA"/>
        </w:rPr>
        <w:t xml:space="preserve">restrictions légales ou à un contrat de licence </w:t>
      </w:r>
      <w:r>
        <w:rPr>
          <w:lang w:val="fr-CA"/>
        </w:rPr>
        <w:t>les réservant aux</w:t>
      </w:r>
      <w:r w:rsidRPr="003658C9">
        <w:rPr>
          <w:lang w:val="fr-CA"/>
        </w:rPr>
        <w:t xml:space="preserve"> personnes </w:t>
      </w:r>
      <w:r>
        <w:rPr>
          <w:lang w:val="fr-CA"/>
        </w:rPr>
        <w:t>incapables de lire les imprimés ou</w:t>
      </w:r>
      <w:r w:rsidRPr="003658C9">
        <w:rPr>
          <w:rFonts w:ascii="Arial" w:hAnsi="Arial" w:cs="Arial"/>
          <w:color w:val="242424"/>
          <w:sz w:val="18"/>
          <w:szCs w:val="18"/>
          <w:shd w:val="clear" w:color="auto" w:fill="FFFEEF"/>
          <w:lang w:val="fr-CA"/>
        </w:rPr>
        <w:t xml:space="preserve"> </w:t>
      </w:r>
      <w:r w:rsidRPr="003658C9">
        <w:rPr>
          <w:lang w:val="fr-CA"/>
        </w:rPr>
        <w:t>ayant une déficience perceptuelle</w:t>
      </w:r>
      <w:r>
        <w:rPr>
          <w:lang w:val="fr-CA"/>
        </w:rPr>
        <w:t>,</w:t>
      </w:r>
      <w:r w:rsidRPr="003658C9">
        <w:rPr>
          <w:lang w:val="fr-CA"/>
        </w:rPr>
        <w:t xml:space="preserve"> tel que défini par</w:t>
      </w:r>
      <w:r>
        <w:rPr>
          <w:lang w:val="fr-CA"/>
        </w:rPr>
        <w:t xml:space="preserve"> la</w:t>
      </w:r>
      <w:r w:rsidRPr="003658C9">
        <w:rPr>
          <w:rFonts w:ascii="Helvetica" w:hAnsi="Helvetica" w:cs="Helvetica"/>
          <w:color w:val="2572B4"/>
          <w:shd w:val="clear" w:color="auto" w:fill="FFFFFF"/>
          <w:lang w:val="fr-CA"/>
        </w:rPr>
        <w:t xml:space="preserve"> </w:t>
      </w:r>
      <w:r w:rsidRPr="003658C9">
        <w:rPr>
          <w:i/>
          <w:iCs/>
          <w:lang w:val="fr-CA"/>
        </w:rPr>
        <w:t>Loi sur le droit d’auteur</w:t>
      </w:r>
      <w:r>
        <w:rPr>
          <w:lang w:val="fr-CA"/>
        </w:rPr>
        <w:t xml:space="preserve"> du</w:t>
      </w:r>
      <w:r w:rsidRPr="003658C9">
        <w:rPr>
          <w:lang w:val="fr-CA"/>
        </w:rPr>
        <w:t xml:space="preserve"> Canada (</w:t>
      </w:r>
      <w:r>
        <w:rPr>
          <w:lang w:val="fr-CA"/>
        </w:rPr>
        <w:t>« œuvres accessibles »</w:t>
      </w:r>
      <w:r w:rsidRPr="003658C9">
        <w:rPr>
          <w:lang w:val="fr-CA"/>
        </w:rPr>
        <w:t>)</w:t>
      </w:r>
      <w:r w:rsidR="001B7370" w:rsidRPr="00FA7387">
        <w:rPr>
          <w:lang w:val="fr-CA"/>
        </w:rPr>
        <w:t>.</w:t>
      </w:r>
    </w:p>
    <w:p w14:paraId="4172CB88" w14:textId="5C9CE7B7" w:rsidR="00BA1761" w:rsidRPr="000D62DD" w:rsidRDefault="00F96D55" w:rsidP="00BA1761">
      <w:pPr>
        <w:rPr>
          <w:lang w:val="fr-CA"/>
        </w:rPr>
      </w:pPr>
      <w:r w:rsidRPr="00F96D55">
        <w:rPr>
          <w:lang w:val="fr-CA"/>
        </w:rPr>
        <w:t>Nous traitons toutes les données personnel</w:t>
      </w:r>
      <w:r>
        <w:rPr>
          <w:lang w:val="fr-CA"/>
        </w:rPr>
        <w:t>les</w:t>
      </w:r>
      <w:r w:rsidRPr="00F96D55">
        <w:rPr>
          <w:lang w:val="fr-CA"/>
        </w:rPr>
        <w:t xml:space="preserve"> conformément à la législation applicable en matière de protection de la vie privée et aux lois provinciales ou nationales pertinentes</w:t>
      </w:r>
      <w:r w:rsidR="2A35ADDF" w:rsidRPr="00F96D55">
        <w:rPr>
          <w:lang w:val="fr-CA"/>
        </w:rPr>
        <w:t>.</w:t>
      </w:r>
      <w:r w:rsidR="000D62DD" w:rsidRPr="000D62DD">
        <w:rPr>
          <w:lang w:val="fr-CA"/>
        </w:rPr>
        <w:t xml:space="preserve"> Dans l</w:t>
      </w:r>
      <w:r w:rsidR="000D62DD">
        <w:rPr>
          <w:lang w:val="fr-CA"/>
        </w:rPr>
        <w:t>a</w:t>
      </w:r>
      <w:r w:rsidR="000D62DD" w:rsidRPr="000D62DD">
        <w:rPr>
          <w:lang w:val="fr-CA"/>
        </w:rPr>
        <w:t xml:space="preserve"> prestation de nos services, nous collaborons parfois avec des organisations partenaires et des </w:t>
      </w:r>
      <w:r w:rsidR="000D62DD">
        <w:rPr>
          <w:lang w:val="fr-CA"/>
        </w:rPr>
        <w:t>fournisseurs</w:t>
      </w:r>
      <w:r w:rsidR="000D62DD" w:rsidRPr="000D62DD">
        <w:rPr>
          <w:lang w:val="fr-CA"/>
        </w:rPr>
        <w:t xml:space="preserve"> de services de confiance qui nous aident à gérer nos technologies, nos systèmes de données, notre</w:t>
      </w:r>
      <w:r w:rsidR="000D62DD">
        <w:rPr>
          <w:lang w:val="fr-CA"/>
        </w:rPr>
        <w:t xml:space="preserve"> service d’</w:t>
      </w:r>
      <w:r w:rsidR="000D62DD" w:rsidRPr="000D62DD">
        <w:rPr>
          <w:lang w:val="fr-CA"/>
        </w:rPr>
        <w:t>assistance et nos communications</w:t>
      </w:r>
      <w:r w:rsidR="00BA1761" w:rsidRPr="000D62DD">
        <w:rPr>
          <w:lang w:val="fr-CA"/>
        </w:rPr>
        <w:t>.</w:t>
      </w:r>
    </w:p>
    <w:p w14:paraId="6BF6F047" w14:textId="2E396045" w:rsidR="00BA1761" w:rsidRPr="000D62DD" w:rsidRDefault="000D62DD" w:rsidP="00BA1761">
      <w:pPr>
        <w:rPr>
          <w:lang w:val="fr-CA"/>
        </w:rPr>
      </w:pPr>
      <w:r w:rsidRPr="000D62DD">
        <w:rPr>
          <w:lang w:val="fr-CA"/>
        </w:rPr>
        <w:lastRenderedPageBreak/>
        <w:t>Dans le cadre de cet engagement, l</w:t>
      </w:r>
      <w:r>
        <w:rPr>
          <w:lang w:val="fr-CA"/>
        </w:rPr>
        <w:t>e</w:t>
      </w:r>
      <w:r w:rsidRPr="000D62DD">
        <w:rPr>
          <w:lang w:val="fr-CA"/>
        </w:rPr>
        <w:t xml:space="preserve"> CAÉB souhaite que ses </w:t>
      </w:r>
      <w:r w:rsidR="00861866">
        <w:rPr>
          <w:lang w:val="fr-CA"/>
        </w:rPr>
        <w:t>utilisateurs</w:t>
      </w:r>
      <w:r w:rsidR="00861866" w:rsidRPr="000D62DD">
        <w:rPr>
          <w:lang w:val="fr-CA"/>
        </w:rPr>
        <w:t xml:space="preserve"> </w:t>
      </w:r>
      <w:r w:rsidRPr="000D62DD">
        <w:rPr>
          <w:lang w:val="fr-CA"/>
        </w:rPr>
        <w:t>soient pleinement informés de la manière dont leurs données personnelles sont collectées, utilisées, divulguées et gérées</w:t>
      </w:r>
      <w:r w:rsidR="00BA1761" w:rsidRPr="000D62DD">
        <w:rPr>
          <w:lang w:val="fr-CA"/>
        </w:rPr>
        <w:t>.</w:t>
      </w:r>
    </w:p>
    <w:p w14:paraId="7B6CC5C1" w14:textId="63FCC0DE" w:rsidR="00BA1761" w:rsidRPr="000D62DD" w:rsidRDefault="000D62DD" w:rsidP="00BA1761">
      <w:pPr>
        <w:rPr>
          <w:lang w:val="fr-CA"/>
        </w:rPr>
      </w:pPr>
      <w:r w:rsidRPr="000D62DD">
        <w:rPr>
          <w:lang w:val="fr-CA"/>
        </w:rPr>
        <w:t>La présente Politique de confidentialité</w:t>
      </w:r>
      <w:r w:rsidR="23C08BAE" w:rsidRPr="000D62DD">
        <w:rPr>
          <w:lang w:val="fr-CA"/>
        </w:rPr>
        <w:t xml:space="preserve"> (</w:t>
      </w:r>
      <w:r w:rsidRPr="000D62DD">
        <w:rPr>
          <w:lang w:val="fr-CA"/>
        </w:rPr>
        <w:t>la « po</w:t>
      </w:r>
      <w:r>
        <w:rPr>
          <w:lang w:val="fr-CA"/>
        </w:rPr>
        <w:t>litique »</w:t>
      </w:r>
      <w:r w:rsidR="23C08BAE" w:rsidRPr="000D62DD">
        <w:rPr>
          <w:lang w:val="fr-CA"/>
        </w:rPr>
        <w:t>)</w:t>
      </w:r>
      <w:r w:rsidRPr="000D62DD">
        <w:rPr>
          <w:lang w:val="fr-CA"/>
        </w:rPr>
        <w:t xml:space="preserve"> </w:t>
      </w:r>
      <w:r>
        <w:rPr>
          <w:lang w:val="fr-CA"/>
        </w:rPr>
        <w:t>d</w:t>
      </w:r>
      <w:r w:rsidRPr="000D62DD">
        <w:rPr>
          <w:lang w:val="fr-CA"/>
        </w:rPr>
        <w:t>éfinit la manière dont l</w:t>
      </w:r>
      <w:r>
        <w:rPr>
          <w:lang w:val="fr-CA"/>
        </w:rPr>
        <w:t>e</w:t>
      </w:r>
      <w:r w:rsidRPr="000D62DD">
        <w:rPr>
          <w:lang w:val="fr-CA"/>
        </w:rPr>
        <w:t xml:space="preserve"> CAÉB gère les données personnelles de ses</w:t>
      </w:r>
      <w:r w:rsidR="23C08BAE" w:rsidRPr="000D62DD">
        <w:rPr>
          <w:lang w:val="fr-CA"/>
        </w:rPr>
        <w:t xml:space="preserve"> </w:t>
      </w:r>
      <w:r w:rsidR="00861866">
        <w:rPr>
          <w:lang w:val="fr-CA"/>
        </w:rPr>
        <w:t>utilisateurs</w:t>
      </w:r>
      <w:r w:rsidR="58FF1E80" w:rsidRPr="000D62DD">
        <w:rPr>
          <w:lang w:val="fr-CA"/>
        </w:rPr>
        <w:t>.</w:t>
      </w:r>
    </w:p>
    <w:p w14:paraId="4AE7D33E" w14:textId="1875A511" w:rsidR="00AB2F30" w:rsidRPr="00861866" w:rsidRDefault="00390E05" w:rsidP="00956F8E">
      <w:pPr>
        <w:pStyle w:val="Heading1"/>
        <w:rPr>
          <w:lang w:val="fr-CA"/>
        </w:rPr>
      </w:pPr>
      <w:r w:rsidRPr="00861866">
        <w:rPr>
          <w:lang w:val="fr-CA"/>
        </w:rPr>
        <w:t>Collect</w:t>
      </w:r>
      <w:r w:rsidR="003C572B" w:rsidRPr="00861866">
        <w:rPr>
          <w:lang w:val="fr-CA"/>
        </w:rPr>
        <w:t>e de données</w:t>
      </w:r>
    </w:p>
    <w:p w14:paraId="16EB87F5" w14:textId="33804C1D" w:rsidR="00BA1761" w:rsidRPr="00861866" w:rsidRDefault="003C572B" w:rsidP="00390E05">
      <w:pPr>
        <w:pStyle w:val="Heading2"/>
        <w:rPr>
          <w:lang w:val="fr-CA"/>
        </w:rPr>
      </w:pPr>
      <w:r w:rsidRPr="00861866">
        <w:rPr>
          <w:lang w:val="fr-CA"/>
        </w:rPr>
        <w:t>Renseignements personnels</w:t>
      </w:r>
    </w:p>
    <w:p w14:paraId="64CB8BCE" w14:textId="27A99A7F" w:rsidR="00BA1761" w:rsidRPr="003C572B" w:rsidRDefault="003C572B" w:rsidP="00BA1761">
      <w:pPr>
        <w:rPr>
          <w:lang w:val="fr-CA"/>
        </w:rPr>
      </w:pPr>
      <w:r w:rsidRPr="003C572B">
        <w:rPr>
          <w:lang w:val="fr-CA"/>
        </w:rPr>
        <w:t xml:space="preserve">Le </w:t>
      </w:r>
      <w:r w:rsidR="00FF2186" w:rsidRPr="003C572B">
        <w:rPr>
          <w:lang w:val="fr-CA"/>
        </w:rPr>
        <w:t>CAÉB</w:t>
      </w:r>
      <w:r w:rsidRPr="003C572B">
        <w:rPr>
          <w:lang w:val="fr-CA"/>
        </w:rPr>
        <w:t xml:space="preserve"> ne recueille que les r</w:t>
      </w:r>
      <w:r>
        <w:rPr>
          <w:lang w:val="fr-CA"/>
        </w:rPr>
        <w:t>enseignements</w:t>
      </w:r>
      <w:r w:rsidRPr="003C572B">
        <w:rPr>
          <w:lang w:val="fr-CA"/>
        </w:rPr>
        <w:t xml:space="preserve"> nécessaires </w:t>
      </w:r>
      <w:r>
        <w:rPr>
          <w:lang w:val="fr-CA"/>
        </w:rPr>
        <w:t>pour offrir des</w:t>
      </w:r>
      <w:r w:rsidRPr="003C572B">
        <w:rPr>
          <w:lang w:val="fr-CA"/>
        </w:rPr>
        <w:t xml:space="preserve"> services</w:t>
      </w:r>
      <w:r>
        <w:rPr>
          <w:lang w:val="fr-CA"/>
        </w:rPr>
        <w:t xml:space="preserve"> à ses </w:t>
      </w:r>
      <w:r w:rsidR="00861866">
        <w:rPr>
          <w:lang w:val="fr-CA"/>
        </w:rPr>
        <w:t>utilisateurs</w:t>
      </w:r>
      <w:r w:rsidR="00861866" w:rsidRPr="003C572B">
        <w:rPr>
          <w:lang w:val="fr-CA"/>
        </w:rPr>
        <w:t xml:space="preserve"> </w:t>
      </w:r>
      <w:r w:rsidRPr="003C572B">
        <w:rPr>
          <w:lang w:val="fr-CA"/>
        </w:rPr>
        <w:t>ou</w:t>
      </w:r>
      <w:r>
        <w:rPr>
          <w:lang w:val="fr-CA"/>
        </w:rPr>
        <w:t xml:space="preserve"> communiquer avec eux</w:t>
      </w:r>
      <w:r w:rsidRPr="003C572B">
        <w:rPr>
          <w:lang w:val="fr-CA"/>
        </w:rPr>
        <w:t>, notamment</w:t>
      </w:r>
      <w:r>
        <w:rPr>
          <w:lang w:val="fr-CA"/>
        </w:rPr>
        <w:t> </w:t>
      </w:r>
      <w:r w:rsidR="00BA1761" w:rsidRPr="003C572B">
        <w:rPr>
          <w:lang w:val="fr-CA"/>
        </w:rPr>
        <w:t>:</w:t>
      </w:r>
    </w:p>
    <w:p w14:paraId="6FBF5AD0" w14:textId="6D2B47FC" w:rsidR="00BA1761" w:rsidRPr="003C572B" w:rsidRDefault="003C572B" w:rsidP="00BA1761">
      <w:pPr>
        <w:pStyle w:val="ListParagraph"/>
        <w:numPr>
          <w:ilvl w:val="0"/>
          <w:numId w:val="5"/>
        </w:numPr>
        <w:rPr>
          <w:lang w:val="fr-CA"/>
        </w:rPr>
      </w:pPr>
      <w:r w:rsidRPr="003C572B">
        <w:rPr>
          <w:lang w:val="fr-CA"/>
        </w:rPr>
        <w:t>Nom, coordonnées et numéro de carte de bibliothèque</w:t>
      </w:r>
    </w:p>
    <w:p w14:paraId="1B0BDCDE" w14:textId="5306AD19" w:rsidR="00BA1761" w:rsidRPr="003C572B" w:rsidRDefault="00E808A4" w:rsidP="00BA1761">
      <w:pPr>
        <w:numPr>
          <w:ilvl w:val="0"/>
          <w:numId w:val="5"/>
        </w:numPr>
        <w:rPr>
          <w:lang w:val="fr-CA"/>
        </w:rPr>
      </w:pPr>
      <w:r w:rsidRPr="003C572B">
        <w:rPr>
          <w:lang w:val="fr-CA"/>
        </w:rPr>
        <w:t>D</w:t>
      </w:r>
      <w:r w:rsidR="00BA1761" w:rsidRPr="003C572B">
        <w:rPr>
          <w:lang w:val="fr-CA"/>
        </w:rPr>
        <w:t>ate</w:t>
      </w:r>
      <w:r w:rsidR="003C572B" w:rsidRPr="003C572B">
        <w:rPr>
          <w:lang w:val="fr-CA"/>
        </w:rPr>
        <w:t xml:space="preserve"> de nais</w:t>
      </w:r>
      <w:r w:rsidR="00D52BCE">
        <w:rPr>
          <w:lang w:val="fr-CA"/>
        </w:rPr>
        <w:t>s</w:t>
      </w:r>
      <w:r w:rsidR="003C572B" w:rsidRPr="003C572B">
        <w:rPr>
          <w:lang w:val="fr-CA"/>
        </w:rPr>
        <w:t xml:space="preserve">ance, une collecte facultative pour les </w:t>
      </w:r>
      <w:r w:rsidR="00861866">
        <w:rPr>
          <w:lang w:val="fr-CA"/>
        </w:rPr>
        <w:t>utilisateurs</w:t>
      </w:r>
      <w:r w:rsidR="00861866" w:rsidRPr="003C572B">
        <w:rPr>
          <w:lang w:val="fr-CA"/>
        </w:rPr>
        <w:t xml:space="preserve"> </w:t>
      </w:r>
      <w:r w:rsidR="003C572B" w:rsidRPr="003C572B">
        <w:rPr>
          <w:lang w:val="fr-CA"/>
        </w:rPr>
        <w:t>de</w:t>
      </w:r>
      <w:r w:rsidR="00BA1761" w:rsidRPr="003C572B">
        <w:rPr>
          <w:lang w:val="fr-CA"/>
        </w:rPr>
        <w:t xml:space="preserve"> 17</w:t>
      </w:r>
      <w:r w:rsidR="003C572B" w:rsidRPr="003C572B">
        <w:rPr>
          <w:lang w:val="fr-CA"/>
        </w:rPr>
        <w:t xml:space="preserve"> </w:t>
      </w:r>
      <w:r w:rsidR="003C572B">
        <w:rPr>
          <w:lang w:val="fr-CA"/>
        </w:rPr>
        <w:t>ans et plus</w:t>
      </w:r>
    </w:p>
    <w:p w14:paraId="3124FB81" w14:textId="4919F9F5" w:rsidR="00BA1761" w:rsidRPr="003C572B" w:rsidRDefault="003C572B" w:rsidP="00BA1761">
      <w:pPr>
        <w:pStyle w:val="ListParagraph"/>
        <w:numPr>
          <w:ilvl w:val="0"/>
          <w:numId w:val="5"/>
        </w:numPr>
        <w:rPr>
          <w:lang w:val="fr-CA"/>
        </w:rPr>
      </w:pPr>
      <w:proofErr w:type="spellStart"/>
      <w:r w:rsidRPr="003C572B">
        <w:rPr>
          <w:lang w:val="fr-CA"/>
        </w:rPr>
        <w:t>Autodéclaration</w:t>
      </w:r>
      <w:proofErr w:type="spellEnd"/>
      <w:r w:rsidRPr="003C572B">
        <w:rPr>
          <w:lang w:val="fr-CA"/>
        </w:rPr>
        <w:t xml:space="preserve"> attestant de l</w:t>
      </w:r>
      <w:r>
        <w:rPr>
          <w:lang w:val="fr-CA"/>
        </w:rPr>
        <w:t>’admissibilité</w:t>
      </w:r>
      <w:r w:rsidRPr="003C572B">
        <w:rPr>
          <w:lang w:val="fr-CA"/>
        </w:rPr>
        <w:t xml:space="preserve"> aux services du CAÉB en tant que personne </w:t>
      </w:r>
      <w:r>
        <w:rPr>
          <w:lang w:val="fr-CA"/>
        </w:rPr>
        <w:t>incapable de lire les imprimés</w:t>
      </w:r>
    </w:p>
    <w:p w14:paraId="07667754" w14:textId="3CB3FF99" w:rsidR="00E808A4" w:rsidRPr="003C572B" w:rsidRDefault="003C572B" w:rsidP="003C572B">
      <w:pPr>
        <w:numPr>
          <w:ilvl w:val="0"/>
          <w:numId w:val="5"/>
        </w:numPr>
        <w:rPr>
          <w:lang w:val="fr-CA"/>
        </w:rPr>
      </w:pPr>
      <w:r w:rsidRPr="003C572B">
        <w:rPr>
          <w:lang w:val="fr-CA"/>
        </w:rPr>
        <w:t>Renseignements facultati</w:t>
      </w:r>
      <w:r>
        <w:rPr>
          <w:lang w:val="fr-CA"/>
        </w:rPr>
        <w:t>f</w:t>
      </w:r>
      <w:r w:rsidRPr="003C572B">
        <w:rPr>
          <w:lang w:val="fr-CA"/>
        </w:rPr>
        <w:t>s</w:t>
      </w:r>
      <w:r>
        <w:rPr>
          <w:lang w:val="fr-CA"/>
        </w:rPr>
        <w:t xml:space="preserve"> sur</w:t>
      </w:r>
      <w:r w:rsidRPr="003C572B">
        <w:rPr>
          <w:lang w:val="fr-CA"/>
        </w:rPr>
        <w:t xml:space="preserve"> le type de</w:t>
      </w:r>
      <w:r>
        <w:rPr>
          <w:lang w:val="fr-CA"/>
        </w:rPr>
        <w:t xml:space="preserve"> déficience de lecture des imprimés</w:t>
      </w:r>
      <w:r w:rsidRPr="003C572B">
        <w:rPr>
          <w:lang w:val="fr-CA"/>
        </w:rPr>
        <w:t xml:space="preserve"> donnant droit </w:t>
      </w:r>
      <w:r>
        <w:rPr>
          <w:lang w:val="fr-CA"/>
        </w:rPr>
        <w:t>aux services du</w:t>
      </w:r>
      <w:r w:rsidRPr="003C572B">
        <w:rPr>
          <w:lang w:val="fr-CA"/>
        </w:rPr>
        <w:t xml:space="preserve"> CAÉB</w:t>
      </w:r>
      <w:r w:rsidR="00000E57" w:rsidRPr="003C572B">
        <w:rPr>
          <w:lang w:val="fr-CA"/>
        </w:rPr>
        <w:t xml:space="preserve"> </w:t>
      </w:r>
    </w:p>
    <w:p w14:paraId="72D148F2" w14:textId="3CC2B496" w:rsidR="00BA1761" w:rsidRPr="00BA1761" w:rsidRDefault="003C572B" w:rsidP="00BA1761">
      <w:pPr>
        <w:numPr>
          <w:ilvl w:val="0"/>
          <w:numId w:val="5"/>
        </w:numPr>
      </w:pPr>
      <w:r>
        <w:t xml:space="preserve">Langue de </w:t>
      </w:r>
      <w:r w:rsidR="00BA1761" w:rsidRPr="00BA1761">
        <w:t>communication</w:t>
      </w:r>
      <w:r>
        <w:t xml:space="preserve"> </w:t>
      </w:r>
      <w:proofErr w:type="spellStart"/>
      <w:r>
        <w:t>privilégiée</w:t>
      </w:r>
      <w:proofErr w:type="spellEnd"/>
    </w:p>
    <w:p w14:paraId="61E857E2" w14:textId="1CAD6266" w:rsidR="00BA1761" w:rsidRPr="00A65F09" w:rsidRDefault="00A65F09" w:rsidP="00AE3CD2">
      <w:pPr>
        <w:pStyle w:val="ListParagraph"/>
        <w:numPr>
          <w:ilvl w:val="0"/>
          <w:numId w:val="5"/>
        </w:numPr>
        <w:rPr>
          <w:lang w:val="fr-CA"/>
        </w:rPr>
      </w:pPr>
      <w:r w:rsidRPr="00A65F09">
        <w:rPr>
          <w:lang w:val="fr-CA"/>
        </w:rPr>
        <w:t>Renseignements sur une personne désignée pour aider l’</w:t>
      </w:r>
      <w:r w:rsidR="00861866">
        <w:rPr>
          <w:lang w:val="fr-CA"/>
        </w:rPr>
        <w:t>utilisateur</w:t>
      </w:r>
      <w:r w:rsidRPr="00A65F09">
        <w:rPr>
          <w:lang w:val="fr-CA"/>
        </w:rPr>
        <w:t xml:space="preserve"> à</w:t>
      </w:r>
      <w:r w:rsidR="00861866">
        <w:rPr>
          <w:lang w:val="fr-CA"/>
        </w:rPr>
        <w:t xml:space="preserve"> faire appel aux</w:t>
      </w:r>
      <w:r w:rsidRPr="00A65F09">
        <w:rPr>
          <w:lang w:val="fr-CA"/>
        </w:rPr>
        <w:t xml:space="preserve"> services d</w:t>
      </w:r>
      <w:r>
        <w:rPr>
          <w:lang w:val="fr-CA"/>
        </w:rPr>
        <w:t>u</w:t>
      </w:r>
      <w:r w:rsidRPr="00A65F09">
        <w:rPr>
          <w:lang w:val="fr-CA"/>
        </w:rPr>
        <w:t xml:space="preserve"> CAÉB, </w:t>
      </w:r>
      <w:r>
        <w:rPr>
          <w:lang w:val="fr-CA"/>
        </w:rPr>
        <w:t>notamment</w:t>
      </w:r>
      <w:r w:rsidRPr="00A65F09">
        <w:rPr>
          <w:lang w:val="fr-CA"/>
        </w:rPr>
        <w:t xml:space="preserve"> son nom, sa relation avec l</w:t>
      </w:r>
      <w:r>
        <w:rPr>
          <w:lang w:val="fr-CA"/>
        </w:rPr>
        <w:t>’</w:t>
      </w:r>
      <w:r w:rsidR="00861866">
        <w:rPr>
          <w:lang w:val="fr-CA"/>
        </w:rPr>
        <w:t>utilisateur</w:t>
      </w:r>
      <w:r w:rsidRPr="00A65F09">
        <w:rPr>
          <w:lang w:val="fr-CA"/>
        </w:rPr>
        <w:t xml:space="preserve"> et ses coordonnées (facultatif</w:t>
      </w:r>
      <w:r w:rsidR="4E1C28A1" w:rsidRPr="00A65F09">
        <w:rPr>
          <w:lang w:val="fr-CA"/>
        </w:rPr>
        <w:t>)</w:t>
      </w:r>
    </w:p>
    <w:p w14:paraId="29806F91" w14:textId="01E792FD" w:rsidR="00BA1761" w:rsidRPr="00A65F09" w:rsidRDefault="00A65F09" w:rsidP="00BA1761">
      <w:pPr>
        <w:numPr>
          <w:ilvl w:val="0"/>
          <w:numId w:val="5"/>
        </w:numPr>
        <w:rPr>
          <w:lang w:val="fr-CA"/>
        </w:rPr>
      </w:pPr>
      <w:r w:rsidRPr="00A65F09">
        <w:rPr>
          <w:lang w:val="fr-CA"/>
        </w:rPr>
        <w:t>Renseignements sur le</w:t>
      </w:r>
      <w:r w:rsidR="00D52BCE">
        <w:rPr>
          <w:lang w:val="fr-CA"/>
        </w:rPr>
        <w:t>s</w:t>
      </w:r>
      <w:r w:rsidRPr="00A65F09">
        <w:rPr>
          <w:lang w:val="fr-CA"/>
        </w:rPr>
        <w:t xml:space="preserve"> choix de format de le</w:t>
      </w:r>
      <w:r>
        <w:rPr>
          <w:lang w:val="fr-CA"/>
        </w:rPr>
        <w:t>cture et les besoins en matière d’</w:t>
      </w:r>
      <w:r w:rsidR="00BA1761" w:rsidRPr="00A65F09">
        <w:rPr>
          <w:lang w:val="fr-CA"/>
        </w:rPr>
        <w:t>accessibilit</w:t>
      </w:r>
      <w:r>
        <w:rPr>
          <w:lang w:val="fr-CA"/>
        </w:rPr>
        <w:t>é</w:t>
      </w:r>
    </w:p>
    <w:p w14:paraId="3F44C7D2" w14:textId="4EA2259D" w:rsidR="00BA1761" w:rsidRPr="00861866" w:rsidRDefault="00A65F09" w:rsidP="00BA1761">
      <w:pPr>
        <w:numPr>
          <w:ilvl w:val="0"/>
          <w:numId w:val="5"/>
        </w:numPr>
        <w:rPr>
          <w:lang w:val="fr-CA"/>
        </w:rPr>
      </w:pPr>
      <w:r w:rsidRPr="00A65F09">
        <w:rPr>
          <w:lang w:val="fr-CA"/>
        </w:rPr>
        <w:t>Historique des documents empruntés ou réservés</w:t>
      </w:r>
    </w:p>
    <w:p w14:paraId="4CB29B54" w14:textId="39C6772E" w:rsidR="00BA1761" w:rsidRPr="00861866" w:rsidRDefault="00A65F09" w:rsidP="00A65F09">
      <w:pPr>
        <w:numPr>
          <w:ilvl w:val="0"/>
          <w:numId w:val="5"/>
        </w:numPr>
        <w:rPr>
          <w:lang w:val="fr-CA"/>
        </w:rPr>
      </w:pPr>
      <w:r w:rsidRPr="00A65F09">
        <w:rPr>
          <w:lang w:val="fr-CA"/>
        </w:rPr>
        <w:t>Historique du compte et des communications avec l</w:t>
      </w:r>
      <w:r>
        <w:rPr>
          <w:lang w:val="fr-CA"/>
        </w:rPr>
        <w:t>e</w:t>
      </w:r>
      <w:r w:rsidRPr="00A65F09">
        <w:rPr>
          <w:lang w:val="fr-CA"/>
        </w:rPr>
        <w:t xml:space="preserve"> CAÉB</w:t>
      </w:r>
    </w:p>
    <w:p w14:paraId="76185B68" w14:textId="6A735DB5" w:rsidR="00BA1761" w:rsidRPr="00A65F09" w:rsidRDefault="00A65F09" w:rsidP="00E808A4">
      <w:pPr>
        <w:pStyle w:val="ListParagraph"/>
        <w:numPr>
          <w:ilvl w:val="0"/>
          <w:numId w:val="5"/>
        </w:numPr>
        <w:rPr>
          <w:lang w:val="fr-CA"/>
        </w:rPr>
      </w:pPr>
      <w:r w:rsidRPr="00A65F09">
        <w:rPr>
          <w:lang w:val="fr-CA"/>
        </w:rPr>
        <w:t>Justificatif du handicap pour l’accès à la collection de</w:t>
      </w:r>
      <w:r w:rsidR="00BA1761" w:rsidRPr="00A65F09">
        <w:rPr>
          <w:lang w:val="fr-CA"/>
        </w:rPr>
        <w:t xml:space="preserve"> </w:t>
      </w:r>
      <w:proofErr w:type="spellStart"/>
      <w:r w:rsidR="00BA1761" w:rsidRPr="00A65F09">
        <w:rPr>
          <w:lang w:val="fr-CA"/>
        </w:rPr>
        <w:t>Bookshare</w:t>
      </w:r>
      <w:proofErr w:type="spellEnd"/>
      <w:r w:rsidR="00BA1761" w:rsidRPr="00A65F09">
        <w:rPr>
          <w:lang w:val="fr-CA"/>
        </w:rPr>
        <w:t xml:space="preserve"> </w:t>
      </w:r>
      <w:r w:rsidRPr="00A65F09">
        <w:rPr>
          <w:lang w:val="fr-CA"/>
        </w:rPr>
        <w:t>(facultatif)</w:t>
      </w:r>
      <w:r w:rsidR="00E808A4" w:rsidRPr="00A65F09">
        <w:rPr>
          <w:lang w:val="fr-CA"/>
        </w:rPr>
        <w:t xml:space="preserve"> (</w:t>
      </w:r>
      <w:r w:rsidRPr="00A65F09">
        <w:rPr>
          <w:lang w:val="fr-CA"/>
        </w:rPr>
        <w:t>Remarque </w:t>
      </w:r>
      <w:r w:rsidR="00E808A4" w:rsidRPr="00A65F09">
        <w:rPr>
          <w:lang w:val="fr-CA"/>
        </w:rPr>
        <w:t xml:space="preserve">: </w:t>
      </w:r>
      <w:r w:rsidRPr="00A65F09">
        <w:rPr>
          <w:lang w:val="fr-CA"/>
        </w:rPr>
        <w:t xml:space="preserve">Le </w:t>
      </w:r>
      <w:r w:rsidR="00FF2186" w:rsidRPr="00A65F09">
        <w:rPr>
          <w:lang w:val="fr-CA"/>
        </w:rPr>
        <w:t xml:space="preserve">CAÉB </w:t>
      </w:r>
      <w:r w:rsidRPr="00A65F09">
        <w:rPr>
          <w:lang w:val="fr-CA"/>
        </w:rPr>
        <w:t xml:space="preserve">ne </w:t>
      </w:r>
      <w:r>
        <w:rPr>
          <w:lang w:val="fr-CA"/>
        </w:rPr>
        <w:t xml:space="preserve">partage aucune donnée personnelle avec </w:t>
      </w:r>
      <w:proofErr w:type="spellStart"/>
      <w:r w:rsidR="00BA1761" w:rsidRPr="00A65F09">
        <w:rPr>
          <w:lang w:val="fr-CA"/>
        </w:rPr>
        <w:t>Bookshare</w:t>
      </w:r>
      <w:proofErr w:type="spellEnd"/>
      <w:r w:rsidR="00E808A4" w:rsidRPr="00A65F09">
        <w:rPr>
          <w:lang w:val="fr-CA"/>
        </w:rPr>
        <w:t>)</w:t>
      </w:r>
    </w:p>
    <w:p w14:paraId="1F779075" w14:textId="5B880A51" w:rsidR="00BA1761" w:rsidRPr="00A65F09" w:rsidRDefault="003C572B" w:rsidP="00A65F09">
      <w:pPr>
        <w:rPr>
          <w:lang w:val="fr-CA"/>
        </w:rPr>
      </w:pPr>
      <w:r w:rsidRPr="00A65F09">
        <w:rPr>
          <w:lang w:val="fr-CA"/>
        </w:rPr>
        <w:t xml:space="preserve">Le </w:t>
      </w:r>
      <w:r w:rsidR="00FF2186" w:rsidRPr="00A65F09">
        <w:rPr>
          <w:lang w:val="fr-CA"/>
        </w:rPr>
        <w:t>CAÉB</w:t>
      </w:r>
      <w:r w:rsidR="00A65F09" w:rsidRPr="00A65F09">
        <w:rPr>
          <w:lang w:val="fr-CA"/>
        </w:rPr>
        <w:t xml:space="preserve"> ne c</w:t>
      </w:r>
      <w:r w:rsidR="00A65F09">
        <w:rPr>
          <w:lang w:val="fr-CA"/>
        </w:rPr>
        <w:t>ollecte que les données</w:t>
      </w:r>
      <w:r w:rsidR="00A65F09" w:rsidRPr="00A65F09">
        <w:rPr>
          <w:lang w:val="fr-CA"/>
        </w:rPr>
        <w:t xml:space="preserve"> nécessaires à la </w:t>
      </w:r>
      <w:r w:rsidR="00A65F09">
        <w:rPr>
          <w:lang w:val="fr-CA"/>
        </w:rPr>
        <w:t>prestation</w:t>
      </w:r>
      <w:r w:rsidR="00A65F09" w:rsidRPr="00A65F09">
        <w:rPr>
          <w:lang w:val="fr-CA"/>
        </w:rPr>
        <w:t xml:space="preserve"> ou à l</w:t>
      </w:r>
      <w:r w:rsidR="00A65F09">
        <w:rPr>
          <w:lang w:val="fr-CA"/>
        </w:rPr>
        <w:t>’</w:t>
      </w:r>
      <w:r w:rsidR="00A65F09" w:rsidRPr="00A65F09">
        <w:rPr>
          <w:lang w:val="fr-CA"/>
        </w:rPr>
        <w:t>amélioration de nos services</w:t>
      </w:r>
      <w:r w:rsidR="00A65F09">
        <w:rPr>
          <w:lang w:val="fr-CA"/>
        </w:rPr>
        <w:t>,</w:t>
      </w:r>
      <w:r w:rsidR="00A65F09" w:rsidRPr="00A65F09">
        <w:rPr>
          <w:lang w:val="fr-CA"/>
        </w:rPr>
        <w:t xml:space="preserve"> et à la communication avec </w:t>
      </w:r>
      <w:r w:rsidR="00A65F09">
        <w:rPr>
          <w:lang w:val="fr-CA"/>
        </w:rPr>
        <w:t>s</w:t>
      </w:r>
      <w:r w:rsidR="00A65F09" w:rsidRPr="00A65F09">
        <w:rPr>
          <w:lang w:val="fr-CA"/>
        </w:rPr>
        <w:t>es</w:t>
      </w:r>
      <w:r w:rsidR="00A65F09">
        <w:rPr>
          <w:lang w:val="fr-CA"/>
        </w:rPr>
        <w:t xml:space="preserve"> </w:t>
      </w:r>
      <w:r w:rsidR="00861866">
        <w:rPr>
          <w:lang w:val="fr-CA"/>
        </w:rPr>
        <w:t>utilisateurs</w:t>
      </w:r>
      <w:r w:rsidR="00A65F09">
        <w:rPr>
          <w:lang w:val="fr-CA"/>
        </w:rPr>
        <w:t xml:space="preserve">. Nous </w:t>
      </w:r>
      <w:r w:rsidR="00A65F09" w:rsidRPr="00A65F09">
        <w:rPr>
          <w:lang w:val="fr-CA"/>
        </w:rPr>
        <w:t>ne vendons, n</w:t>
      </w:r>
      <w:r w:rsidR="00A65F09">
        <w:rPr>
          <w:lang w:val="fr-CA"/>
        </w:rPr>
        <w:t>’</w:t>
      </w:r>
      <w:r w:rsidR="00A65F09" w:rsidRPr="00A65F09">
        <w:rPr>
          <w:lang w:val="fr-CA"/>
        </w:rPr>
        <w:t xml:space="preserve">échangeons ni ne partageons jamais de données personnelles avec des tiers, sauf </w:t>
      </w:r>
      <w:r w:rsidR="00A65F09">
        <w:rPr>
          <w:lang w:val="fr-CA"/>
        </w:rPr>
        <w:t>si</w:t>
      </w:r>
      <w:r w:rsidR="00A65F09" w:rsidRPr="00A65F09">
        <w:rPr>
          <w:lang w:val="fr-CA"/>
        </w:rPr>
        <w:t xml:space="preserve"> nécessaire pour fournir des services par l</w:t>
      </w:r>
      <w:r w:rsidR="00A65F09">
        <w:rPr>
          <w:lang w:val="fr-CA"/>
        </w:rPr>
        <w:t>’</w:t>
      </w:r>
      <w:r w:rsidR="00A65F09" w:rsidRPr="00A65F09">
        <w:rPr>
          <w:lang w:val="fr-CA"/>
        </w:rPr>
        <w:t xml:space="preserve">intermédiaire de bibliothèques, comme </w:t>
      </w:r>
      <w:r w:rsidR="00A65F09" w:rsidRPr="00A65F09">
        <w:rPr>
          <w:lang w:val="fr-CA"/>
        </w:rPr>
        <w:lastRenderedPageBreak/>
        <w:t>décrit ci-dessous.</w:t>
      </w:r>
      <w:r w:rsidR="00BA1761" w:rsidRPr="00A65F09">
        <w:rPr>
          <w:lang w:val="fr-CA"/>
        </w:rPr>
        <w:t xml:space="preserve"> </w:t>
      </w:r>
      <w:r w:rsidR="00A65F09" w:rsidRPr="00A65F09">
        <w:rPr>
          <w:lang w:val="fr-CA"/>
        </w:rPr>
        <w:t xml:space="preserve">Toutes les données concernant les </w:t>
      </w:r>
      <w:r w:rsidR="00861866">
        <w:rPr>
          <w:lang w:val="fr-CA"/>
        </w:rPr>
        <w:t>utilisateurs</w:t>
      </w:r>
      <w:r w:rsidR="00861866" w:rsidRPr="00A65F09">
        <w:rPr>
          <w:lang w:val="fr-CA"/>
        </w:rPr>
        <w:t xml:space="preserve"> </w:t>
      </w:r>
      <w:r w:rsidR="00A65F09" w:rsidRPr="00A65F09">
        <w:rPr>
          <w:lang w:val="fr-CA"/>
        </w:rPr>
        <w:t>sont stockées au Canada</w:t>
      </w:r>
      <w:r w:rsidR="00BA1761" w:rsidRPr="00A65F09">
        <w:rPr>
          <w:lang w:val="fr-CA"/>
        </w:rPr>
        <w:t>.</w:t>
      </w:r>
    </w:p>
    <w:p w14:paraId="48ED8CBB" w14:textId="2A449655" w:rsidR="00BA1761" w:rsidRPr="00A65F09" w:rsidRDefault="003C572B" w:rsidP="00BA1761">
      <w:pPr>
        <w:rPr>
          <w:lang w:val="fr-CA"/>
        </w:rPr>
      </w:pPr>
      <w:r w:rsidRPr="00A65F09">
        <w:rPr>
          <w:lang w:val="fr-CA"/>
        </w:rPr>
        <w:t xml:space="preserve">Le </w:t>
      </w:r>
      <w:r w:rsidR="00FF2186" w:rsidRPr="00A65F09">
        <w:rPr>
          <w:lang w:val="fr-CA"/>
        </w:rPr>
        <w:t>CAÉB</w:t>
      </w:r>
      <w:r w:rsidR="00A65F09" w:rsidRPr="00A65F09">
        <w:rPr>
          <w:rFonts w:ascii="Times New Roman" w:eastAsia="Times New Roman" w:hAnsi="Times New Roman" w:cs="Times New Roman"/>
          <w:kern w:val="0"/>
          <w:sz w:val="24"/>
          <w:lang w:val="fr-CA" w:eastAsia="fr-CA"/>
          <w14:ligatures w14:val="none"/>
        </w:rPr>
        <w:t xml:space="preserve"> </w:t>
      </w:r>
      <w:r w:rsidR="00A65F09" w:rsidRPr="00A65F09">
        <w:rPr>
          <w:lang w:val="fr-CA"/>
        </w:rPr>
        <w:t xml:space="preserve">recueille des données </w:t>
      </w:r>
      <w:r w:rsidR="00A65F09">
        <w:rPr>
          <w:lang w:val="fr-CA"/>
        </w:rPr>
        <w:t xml:space="preserve">personnelles </w:t>
      </w:r>
      <w:r w:rsidR="00A65F09" w:rsidRPr="00A65F09">
        <w:rPr>
          <w:lang w:val="fr-CA"/>
        </w:rPr>
        <w:t>lorsqu</w:t>
      </w:r>
      <w:r w:rsidR="00A65F09">
        <w:rPr>
          <w:lang w:val="fr-CA"/>
        </w:rPr>
        <w:t>’</w:t>
      </w:r>
      <w:r w:rsidR="00A65F09" w:rsidRPr="00A65F09">
        <w:rPr>
          <w:lang w:val="fr-CA"/>
        </w:rPr>
        <w:t xml:space="preserve">un </w:t>
      </w:r>
      <w:r w:rsidR="00861866">
        <w:rPr>
          <w:lang w:val="fr-CA"/>
        </w:rPr>
        <w:t>utilisateur </w:t>
      </w:r>
      <w:r w:rsidR="00BA1761" w:rsidRPr="00A65F09">
        <w:rPr>
          <w:lang w:val="fr-CA"/>
        </w:rPr>
        <w:t>:</w:t>
      </w:r>
    </w:p>
    <w:p w14:paraId="5C3CAC90" w14:textId="53AB1C68" w:rsidR="00BA1761" w:rsidRPr="00A65F09" w:rsidRDefault="00A65F09" w:rsidP="0D771A95">
      <w:pPr>
        <w:pStyle w:val="ListParagraph"/>
        <w:numPr>
          <w:ilvl w:val="0"/>
          <w:numId w:val="1"/>
        </w:numPr>
        <w:rPr>
          <w:rFonts w:asciiTheme="minorHAnsi" w:eastAsia="Aptos" w:hAnsiTheme="minorHAnsi" w:cs="Aptos"/>
          <w:sz w:val="24"/>
          <w:lang w:val="fr-CA"/>
        </w:rPr>
      </w:pPr>
      <w:r w:rsidRPr="00A65F09">
        <w:rPr>
          <w:lang w:val="fr-CA"/>
        </w:rPr>
        <w:t xml:space="preserve">Crée un compte sur </w:t>
      </w:r>
      <w:r w:rsidR="00BA1761" w:rsidRPr="00A65F09">
        <w:rPr>
          <w:lang w:val="fr-CA"/>
        </w:rPr>
        <w:t>celalibrary.</w:t>
      </w:r>
      <w:r w:rsidR="00BA1761" w:rsidRPr="00A65F09">
        <w:rPr>
          <w:szCs w:val="22"/>
          <w:lang w:val="fr-CA"/>
        </w:rPr>
        <w:t>ca</w:t>
      </w:r>
      <w:r w:rsidR="7FC97FA5" w:rsidRPr="00A65F09">
        <w:rPr>
          <w:szCs w:val="22"/>
          <w:lang w:val="fr-CA"/>
        </w:rPr>
        <w:t>/</w:t>
      </w:r>
      <w:r w:rsidR="7FC97FA5" w:rsidRPr="00A65F09">
        <w:rPr>
          <w:rFonts w:eastAsia="Segoe UI" w:cs="Segoe UI"/>
          <w:color w:val="333333"/>
          <w:szCs w:val="22"/>
          <w:lang w:val="fr-CA"/>
        </w:rPr>
        <w:t>bibliocaeb.ca</w:t>
      </w:r>
    </w:p>
    <w:p w14:paraId="1EB4E6DB" w14:textId="11331D78" w:rsidR="00BA1761" w:rsidRPr="00A65F09" w:rsidRDefault="00A65F09" w:rsidP="00A65F09">
      <w:pPr>
        <w:numPr>
          <w:ilvl w:val="0"/>
          <w:numId w:val="1"/>
        </w:numPr>
        <w:rPr>
          <w:rFonts w:asciiTheme="minorHAnsi" w:eastAsia="Aptos" w:hAnsiTheme="minorHAnsi" w:cs="Aptos"/>
          <w:sz w:val="24"/>
          <w:lang w:val="fr-CA"/>
        </w:rPr>
      </w:pPr>
      <w:r w:rsidRPr="00A65F09">
        <w:rPr>
          <w:lang w:val="fr-CA"/>
        </w:rPr>
        <w:t xml:space="preserve">Utilise une fonctionnalité interactive de </w:t>
      </w:r>
      <w:r w:rsidR="00490266" w:rsidRPr="00A65F09">
        <w:rPr>
          <w:lang w:val="fr-CA"/>
        </w:rPr>
        <w:t>celalibrary.</w:t>
      </w:r>
      <w:r w:rsidR="00490266" w:rsidRPr="00A65F09">
        <w:rPr>
          <w:szCs w:val="22"/>
          <w:lang w:val="fr-CA"/>
        </w:rPr>
        <w:t>ca/</w:t>
      </w:r>
      <w:r w:rsidR="00490266" w:rsidRPr="00A65F09">
        <w:rPr>
          <w:rFonts w:eastAsia="Segoe UI" w:cs="Segoe UI"/>
          <w:color w:val="333333"/>
          <w:szCs w:val="22"/>
          <w:lang w:val="fr-CA"/>
        </w:rPr>
        <w:t>bibliocaeb.ca</w:t>
      </w:r>
    </w:p>
    <w:p w14:paraId="1D093188" w14:textId="41A647FD" w:rsidR="00BA1761" w:rsidRPr="00A65F09" w:rsidRDefault="00A65F09" w:rsidP="00A65F09">
      <w:pPr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Demande </w:t>
      </w:r>
      <w:r w:rsidRPr="00A65F09">
        <w:rPr>
          <w:lang w:val="fr-CA"/>
        </w:rPr>
        <w:t>à recevoir des communications par</w:t>
      </w:r>
      <w:r>
        <w:rPr>
          <w:lang w:val="fr-CA"/>
        </w:rPr>
        <w:t xml:space="preserve"> courriel</w:t>
      </w:r>
    </w:p>
    <w:p w14:paraId="33D70BF5" w14:textId="78D8114C" w:rsidR="00D42E0C" w:rsidRPr="00A65F09" w:rsidRDefault="00A65F09" w:rsidP="00A65F09">
      <w:pPr>
        <w:numPr>
          <w:ilvl w:val="0"/>
          <w:numId w:val="1"/>
        </w:numPr>
        <w:rPr>
          <w:lang w:val="fr-CA"/>
        </w:rPr>
      </w:pPr>
      <w:r w:rsidRPr="00A65F09">
        <w:rPr>
          <w:lang w:val="fr-CA"/>
        </w:rPr>
        <w:t>Fait part de commentaires ou de suggestions</w:t>
      </w:r>
    </w:p>
    <w:p w14:paraId="7FF8CC01" w14:textId="0FF3A033" w:rsidR="00D42E0C" w:rsidRPr="006D099C" w:rsidRDefault="006D099C" w:rsidP="00390E05">
      <w:pPr>
        <w:pStyle w:val="Heading2"/>
        <w:rPr>
          <w:lang w:val="fr-CA"/>
        </w:rPr>
      </w:pPr>
      <w:r w:rsidRPr="006D099C">
        <w:rPr>
          <w:lang w:val="fr-CA"/>
        </w:rPr>
        <w:t>Renseignements a</w:t>
      </w:r>
      <w:r w:rsidR="00D42E0C" w:rsidRPr="006D099C">
        <w:rPr>
          <w:lang w:val="fr-CA"/>
        </w:rPr>
        <w:t>nonym</w:t>
      </w:r>
      <w:r w:rsidRPr="006D099C">
        <w:rPr>
          <w:lang w:val="fr-CA"/>
        </w:rPr>
        <w:t>e</w:t>
      </w:r>
      <w:r w:rsidR="00D42E0C" w:rsidRPr="006D099C">
        <w:rPr>
          <w:lang w:val="fr-CA"/>
        </w:rPr>
        <w:t>s</w:t>
      </w:r>
      <w:r w:rsidRPr="006D099C">
        <w:rPr>
          <w:lang w:val="fr-CA"/>
        </w:rPr>
        <w:t xml:space="preserve"> d’ordre général</w:t>
      </w:r>
    </w:p>
    <w:p w14:paraId="07AB7D72" w14:textId="2F48B765" w:rsidR="00BA1761" w:rsidRPr="006D099C" w:rsidRDefault="003C572B" w:rsidP="00BA1761">
      <w:pPr>
        <w:rPr>
          <w:lang w:val="fr-CA"/>
        </w:rPr>
      </w:pPr>
      <w:r w:rsidRPr="006D099C">
        <w:rPr>
          <w:lang w:val="fr-CA"/>
        </w:rPr>
        <w:t xml:space="preserve">Le </w:t>
      </w:r>
      <w:r w:rsidR="00FF2186" w:rsidRPr="006D099C">
        <w:rPr>
          <w:lang w:val="fr-CA"/>
        </w:rPr>
        <w:t>CAÉB</w:t>
      </w:r>
      <w:r w:rsidR="006D099C" w:rsidRPr="006D099C">
        <w:rPr>
          <w:lang w:val="fr-CA"/>
        </w:rPr>
        <w:t xml:space="preserve"> peut recueillir </w:t>
      </w:r>
      <w:r w:rsidR="00BA1761" w:rsidRPr="006D099C">
        <w:rPr>
          <w:lang w:val="fr-CA"/>
        </w:rPr>
        <w:t>automati</w:t>
      </w:r>
      <w:r w:rsidR="006D099C" w:rsidRPr="006D099C">
        <w:rPr>
          <w:lang w:val="fr-CA"/>
        </w:rPr>
        <w:t>quement des renseignements anonymes d’ordre général</w:t>
      </w:r>
      <w:r w:rsidR="006D099C">
        <w:rPr>
          <w:lang w:val="fr-CA"/>
        </w:rPr>
        <w:t xml:space="preserve"> associés à l’utilisation des sites</w:t>
      </w:r>
      <w:r w:rsidR="00BA1761" w:rsidRPr="006D099C">
        <w:rPr>
          <w:lang w:val="fr-CA"/>
        </w:rPr>
        <w:t xml:space="preserve"> celalibrary.ca</w:t>
      </w:r>
      <w:r w:rsidR="00490266" w:rsidRPr="006D099C">
        <w:rPr>
          <w:lang w:val="fr-CA"/>
        </w:rPr>
        <w:t>/</w:t>
      </w:r>
      <w:r w:rsidR="00490266" w:rsidRPr="006D099C">
        <w:rPr>
          <w:rFonts w:eastAsia="Segoe UI" w:cs="Segoe UI"/>
          <w:color w:val="333333"/>
          <w:szCs w:val="22"/>
          <w:lang w:val="fr-CA"/>
        </w:rPr>
        <w:t>bibliocaeb.ca</w:t>
      </w:r>
      <w:r w:rsidR="00BA1761" w:rsidRPr="006D099C">
        <w:rPr>
          <w:lang w:val="fr-CA"/>
        </w:rPr>
        <w:t>,</w:t>
      </w:r>
      <w:r w:rsidR="006D099C">
        <w:rPr>
          <w:lang w:val="fr-CA"/>
        </w:rPr>
        <w:t xml:space="preserve"> comme </w:t>
      </w:r>
      <w:r w:rsidR="006D099C" w:rsidRPr="006D099C">
        <w:rPr>
          <w:lang w:val="fr-CA"/>
        </w:rPr>
        <w:t>l</w:t>
      </w:r>
      <w:r w:rsidR="006D099C">
        <w:rPr>
          <w:lang w:val="fr-CA"/>
        </w:rPr>
        <w:t>es</w:t>
      </w:r>
      <w:r w:rsidR="006D099C" w:rsidRPr="006D099C">
        <w:rPr>
          <w:lang w:val="fr-CA"/>
        </w:rPr>
        <w:t xml:space="preserve"> date</w:t>
      </w:r>
      <w:r w:rsidR="006D099C">
        <w:rPr>
          <w:lang w:val="fr-CA"/>
        </w:rPr>
        <w:t>s</w:t>
      </w:r>
      <w:r w:rsidR="006D099C" w:rsidRPr="006D099C">
        <w:rPr>
          <w:lang w:val="fr-CA"/>
        </w:rPr>
        <w:t xml:space="preserve"> et l</w:t>
      </w:r>
      <w:r w:rsidR="006D099C">
        <w:rPr>
          <w:lang w:val="fr-CA"/>
        </w:rPr>
        <w:t xml:space="preserve">es </w:t>
      </w:r>
      <w:r w:rsidR="006D099C" w:rsidRPr="006D099C">
        <w:rPr>
          <w:lang w:val="fr-CA"/>
        </w:rPr>
        <w:t>heure</w:t>
      </w:r>
      <w:r w:rsidR="006D099C">
        <w:rPr>
          <w:lang w:val="fr-CA"/>
        </w:rPr>
        <w:t>s</w:t>
      </w:r>
      <w:r w:rsidR="006D099C" w:rsidRPr="006D099C">
        <w:rPr>
          <w:lang w:val="fr-CA"/>
        </w:rPr>
        <w:t xml:space="preserve"> de visite ainsi que les pages consultées.</w:t>
      </w:r>
      <w:r w:rsidR="006D099C">
        <w:rPr>
          <w:lang w:val="fr-CA"/>
        </w:rPr>
        <w:t xml:space="preserve"> Le </w:t>
      </w:r>
      <w:r w:rsidR="006D099C" w:rsidRPr="006D099C">
        <w:rPr>
          <w:lang w:val="fr-CA"/>
        </w:rPr>
        <w:t>CAÉB recueille en outre des</w:t>
      </w:r>
      <w:r w:rsidR="006D099C">
        <w:rPr>
          <w:lang w:val="fr-CA"/>
        </w:rPr>
        <w:t xml:space="preserve"> renseignements issus des</w:t>
      </w:r>
      <w:r w:rsidR="006D099C" w:rsidRPr="006D099C">
        <w:rPr>
          <w:lang w:val="fr-CA"/>
        </w:rPr>
        <w:t xml:space="preserve"> témoins de navigation afin d</w:t>
      </w:r>
      <w:r w:rsidR="006D099C">
        <w:rPr>
          <w:lang w:val="fr-CA"/>
        </w:rPr>
        <w:t>’</w:t>
      </w:r>
      <w:r w:rsidR="006D099C" w:rsidRPr="006D099C">
        <w:rPr>
          <w:lang w:val="fr-CA"/>
        </w:rPr>
        <w:t>identifier les ordinateurs des</w:t>
      </w:r>
      <w:r w:rsidR="006D099C">
        <w:rPr>
          <w:lang w:val="fr-CA"/>
        </w:rPr>
        <w:t xml:space="preserve"> </w:t>
      </w:r>
      <w:r w:rsidR="00861866">
        <w:rPr>
          <w:lang w:val="fr-CA"/>
        </w:rPr>
        <w:t>utilisateurs</w:t>
      </w:r>
      <w:r w:rsidR="00861866" w:rsidRPr="006D099C">
        <w:rPr>
          <w:lang w:val="fr-CA"/>
        </w:rPr>
        <w:t xml:space="preserve"> </w:t>
      </w:r>
      <w:r w:rsidR="006D099C" w:rsidRPr="006D099C">
        <w:rPr>
          <w:lang w:val="fr-CA"/>
        </w:rPr>
        <w:t>et de conserver une trace de leurs visites</w:t>
      </w:r>
      <w:r w:rsidR="00BA1761" w:rsidRPr="006D099C">
        <w:rPr>
          <w:lang w:val="fr-CA"/>
        </w:rPr>
        <w:t>.</w:t>
      </w:r>
    </w:p>
    <w:p w14:paraId="1C1DCCBA" w14:textId="72F459D4" w:rsidR="00390E05" w:rsidRPr="00861866" w:rsidRDefault="00D662B4" w:rsidP="00390E05">
      <w:pPr>
        <w:pStyle w:val="Heading1"/>
        <w:rPr>
          <w:lang w:val="fr-CA"/>
        </w:rPr>
      </w:pPr>
      <w:r w:rsidRPr="00861866">
        <w:rPr>
          <w:lang w:val="fr-CA"/>
        </w:rPr>
        <w:t>U</w:t>
      </w:r>
      <w:r w:rsidR="006D099C" w:rsidRPr="00861866">
        <w:rPr>
          <w:lang w:val="fr-CA"/>
        </w:rPr>
        <w:t>tilisation des renseignements</w:t>
      </w:r>
    </w:p>
    <w:p w14:paraId="58F8254D" w14:textId="0E3CAF0F" w:rsidR="00BA1761" w:rsidRPr="006D099C" w:rsidRDefault="006D099C" w:rsidP="00BA1761">
      <w:pPr>
        <w:rPr>
          <w:lang w:val="fr-CA"/>
        </w:rPr>
      </w:pPr>
      <w:r w:rsidRPr="006D099C">
        <w:rPr>
          <w:lang w:val="fr-CA"/>
        </w:rPr>
        <w:t xml:space="preserve">Le </w:t>
      </w:r>
      <w:r w:rsidR="00FF2186" w:rsidRPr="006D099C">
        <w:rPr>
          <w:lang w:val="fr-CA"/>
        </w:rPr>
        <w:t>CAÉB</w:t>
      </w:r>
      <w:r w:rsidRPr="006D099C">
        <w:rPr>
          <w:lang w:val="fr-CA"/>
        </w:rPr>
        <w:t xml:space="preserve"> utilise ces renseignements au</w:t>
      </w:r>
      <w:r>
        <w:rPr>
          <w:lang w:val="fr-CA"/>
        </w:rPr>
        <w:t>x fins suivantes </w:t>
      </w:r>
      <w:r w:rsidR="00BA1761" w:rsidRPr="006D099C">
        <w:rPr>
          <w:lang w:val="fr-CA"/>
        </w:rPr>
        <w:t>:</w:t>
      </w:r>
    </w:p>
    <w:p w14:paraId="42BBDF3A" w14:textId="3AA812CE" w:rsidR="00BA1761" w:rsidRPr="00811F8C" w:rsidRDefault="00811F8C" w:rsidP="00811F8C">
      <w:pPr>
        <w:numPr>
          <w:ilvl w:val="0"/>
          <w:numId w:val="2"/>
        </w:numPr>
        <w:rPr>
          <w:lang w:val="fr-CA"/>
        </w:rPr>
      </w:pPr>
      <w:r w:rsidRPr="00811F8C">
        <w:rPr>
          <w:lang w:val="fr-CA"/>
        </w:rPr>
        <w:t>Fournir et gérer l</w:t>
      </w:r>
      <w:r w:rsidR="00A8744F">
        <w:rPr>
          <w:lang w:val="fr-CA"/>
        </w:rPr>
        <w:t>’</w:t>
      </w:r>
      <w:r w:rsidRPr="00811F8C">
        <w:rPr>
          <w:lang w:val="fr-CA"/>
        </w:rPr>
        <w:t>accès aux services du CAÉB</w:t>
      </w:r>
    </w:p>
    <w:p w14:paraId="3C6F8F42" w14:textId="32D1DC35" w:rsidR="00BA1761" w:rsidRPr="00811F8C" w:rsidRDefault="00BA1761" w:rsidP="00811F8C">
      <w:pPr>
        <w:numPr>
          <w:ilvl w:val="0"/>
          <w:numId w:val="2"/>
        </w:numPr>
        <w:rPr>
          <w:lang w:val="fr-CA"/>
        </w:rPr>
      </w:pPr>
      <w:r w:rsidRPr="00811F8C">
        <w:rPr>
          <w:lang w:val="fr-CA"/>
        </w:rPr>
        <w:t>Communi</w:t>
      </w:r>
      <w:r w:rsidR="00811F8C" w:rsidRPr="00811F8C">
        <w:rPr>
          <w:lang w:val="fr-CA"/>
        </w:rPr>
        <w:t xml:space="preserve">quer avec les </w:t>
      </w:r>
      <w:r w:rsidR="00861866">
        <w:rPr>
          <w:lang w:val="fr-CA"/>
        </w:rPr>
        <w:t>utilisateurs</w:t>
      </w:r>
      <w:r w:rsidR="00861866" w:rsidRPr="00811F8C">
        <w:rPr>
          <w:lang w:val="fr-CA"/>
        </w:rPr>
        <w:t xml:space="preserve"> </w:t>
      </w:r>
      <w:r w:rsidR="00811F8C" w:rsidRPr="00811F8C">
        <w:rPr>
          <w:lang w:val="fr-CA"/>
        </w:rPr>
        <w:t>au sujet de</w:t>
      </w:r>
      <w:r w:rsidR="00811F8C">
        <w:rPr>
          <w:lang w:val="fr-CA"/>
        </w:rPr>
        <w:t xml:space="preserve"> leur</w:t>
      </w:r>
      <w:r w:rsidR="00811F8C" w:rsidRPr="00811F8C">
        <w:rPr>
          <w:lang w:val="fr-CA"/>
        </w:rPr>
        <w:t xml:space="preserve"> compte, des programmes et des mises à jour des services</w:t>
      </w:r>
    </w:p>
    <w:p w14:paraId="1ED7B2FE" w14:textId="56BA4554" w:rsidR="00BA1761" w:rsidRPr="00811F8C" w:rsidRDefault="00811F8C" w:rsidP="00BA1761">
      <w:pPr>
        <w:numPr>
          <w:ilvl w:val="0"/>
          <w:numId w:val="2"/>
        </w:numPr>
        <w:rPr>
          <w:lang w:val="fr-CA"/>
        </w:rPr>
      </w:pPr>
      <w:r w:rsidRPr="00811F8C">
        <w:rPr>
          <w:lang w:val="fr-CA"/>
        </w:rPr>
        <w:t>Améliorer nos</w:t>
      </w:r>
      <w:r w:rsidR="00BA1761" w:rsidRPr="00811F8C">
        <w:rPr>
          <w:lang w:val="fr-CA"/>
        </w:rPr>
        <w:t xml:space="preserve"> services,</w:t>
      </w:r>
      <w:r w:rsidRPr="00811F8C">
        <w:rPr>
          <w:lang w:val="fr-CA"/>
        </w:rPr>
        <w:t xml:space="preserve"> nos</w:t>
      </w:r>
      <w:r w:rsidR="00BA1761" w:rsidRPr="00811F8C">
        <w:rPr>
          <w:lang w:val="fr-CA"/>
        </w:rPr>
        <w:t xml:space="preserve"> collections</w:t>
      </w:r>
      <w:r w:rsidRPr="00811F8C">
        <w:rPr>
          <w:lang w:val="fr-CA"/>
        </w:rPr>
        <w:t xml:space="preserve"> et l</w:t>
      </w:r>
      <w:r>
        <w:rPr>
          <w:lang w:val="fr-CA"/>
        </w:rPr>
        <w:t xml:space="preserve">’expérience des </w:t>
      </w:r>
      <w:r w:rsidR="00861866">
        <w:rPr>
          <w:lang w:val="fr-CA"/>
        </w:rPr>
        <w:t>utilisateurs</w:t>
      </w:r>
    </w:p>
    <w:p w14:paraId="53FA6FD9" w14:textId="7083C346" w:rsidR="00BA1761" w:rsidRPr="00861866" w:rsidRDefault="00811F8C" w:rsidP="00811F8C">
      <w:pPr>
        <w:pStyle w:val="ListParagraph"/>
        <w:numPr>
          <w:ilvl w:val="0"/>
          <w:numId w:val="2"/>
        </w:numPr>
        <w:rPr>
          <w:lang w:val="fr-CA"/>
        </w:rPr>
      </w:pPr>
      <w:r w:rsidRPr="00811F8C">
        <w:rPr>
          <w:lang w:val="fr-CA"/>
        </w:rPr>
        <w:t>Respecter les exigences légales ou en matière de déclaration</w:t>
      </w:r>
    </w:p>
    <w:p w14:paraId="49A1ACCD" w14:textId="58D96782" w:rsidR="00BA1761" w:rsidRPr="00861866" w:rsidRDefault="00811F8C" w:rsidP="00BA1761">
      <w:pPr>
        <w:numPr>
          <w:ilvl w:val="0"/>
          <w:numId w:val="2"/>
        </w:numPr>
        <w:rPr>
          <w:lang w:val="fr-CA"/>
        </w:rPr>
      </w:pPr>
      <w:r w:rsidRPr="00811F8C">
        <w:rPr>
          <w:lang w:val="fr-CA"/>
        </w:rPr>
        <w:t>Enquêter sur toute violation de la Politique d’utilisation acceptable</w:t>
      </w:r>
    </w:p>
    <w:p w14:paraId="5A6F0D90" w14:textId="3EA25949" w:rsidR="00BA1761" w:rsidRPr="00811F8C" w:rsidRDefault="2A35ADDF" w:rsidP="00956F8E">
      <w:pPr>
        <w:pStyle w:val="Heading1"/>
        <w:rPr>
          <w:lang w:val="fr-CA"/>
        </w:rPr>
      </w:pPr>
      <w:r w:rsidRPr="00811F8C">
        <w:rPr>
          <w:lang w:val="fr-CA"/>
        </w:rPr>
        <w:t>Di</w:t>
      </w:r>
      <w:r w:rsidR="00811F8C" w:rsidRPr="00811F8C">
        <w:rPr>
          <w:lang w:val="fr-CA"/>
        </w:rPr>
        <w:t xml:space="preserve">vulgation </w:t>
      </w:r>
      <w:r w:rsidR="00811F8C">
        <w:rPr>
          <w:lang w:val="fr-CA"/>
        </w:rPr>
        <w:t xml:space="preserve">des </w:t>
      </w:r>
      <w:r w:rsidR="00811F8C" w:rsidRPr="00811F8C">
        <w:rPr>
          <w:lang w:val="fr-CA"/>
        </w:rPr>
        <w:t>données personnelles aux bibliothèques</w:t>
      </w:r>
    </w:p>
    <w:p w14:paraId="71682606" w14:textId="492C2A39" w:rsidR="00BA1761" w:rsidRPr="00811F8C" w:rsidRDefault="00811F8C" w:rsidP="6CEF0DFC">
      <w:pPr>
        <w:rPr>
          <w:lang w:val="fr-CA"/>
        </w:rPr>
      </w:pPr>
      <w:r w:rsidRPr="00811F8C">
        <w:rPr>
          <w:lang w:val="fr-CA"/>
        </w:rPr>
        <w:t xml:space="preserve">Le </w:t>
      </w:r>
      <w:r w:rsidR="00FF2186" w:rsidRPr="00811F8C">
        <w:rPr>
          <w:lang w:val="fr-CA"/>
        </w:rPr>
        <w:t>CAÉB</w:t>
      </w:r>
      <w:r w:rsidR="00FF2186" w:rsidRPr="00811F8C">
        <w:rPr>
          <w:rFonts w:eastAsia="Verdana" w:cs="Verdana"/>
          <w:szCs w:val="22"/>
          <w:lang w:val="fr-CA"/>
        </w:rPr>
        <w:t xml:space="preserve"> </w:t>
      </w:r>
      <w:r w:rsidRPr="00811F8C">
        <w:rPr>
          <w:rFonts w:eastAsia="Verdana" w:cs="Verdana"/>
          <w:szCs w:val="22"/>
          <w:lang w:val="fr-CA"/>
        </w:rPr>
        <w:t xml:space="preserve">peut communiquer le numéro de carte de bibliothèque d’un </w:t>
      </w:r>
      <w:r w:rsidR="00861866">
        <w:rPr>
          <w:lang w:val="fr-CA"/>
        </w:rPr>
        <w:t>utilisateur</w:t>
      </w:r>
      <w:r w:rsidR="00861866">
        <w:rPr>
          <w:rFonts w:eastAsia="Verdana" w:cs="Verdana"/>
          <w:szCs w:val="22"/>
          <w:lang w:val="fr-CA"/>
        </w:rPr>
        <w:t xml:space="preserve"> </w:t>
      </w:r>
      <w:r>
        <w:rPr>
          <w:rFonts w:eastAsia="Verdana" w:cs="Verdana"/>
          <w:szCs w:val="22"/>
          <w:lang w:val="fr-CA"/>
        </w:rPr>
        <w:t>admissible</w:t>
      </w:r>
      <w:r w:rsidRPr="00811F8C">
        <w:rPr>
          <w:rFonts w:eastAsia="Verdana" w:cs="Verdana"/>
          <w:szCs w:val="22"/>
          <w:lang w:val="fr-CA"/>
        </w:rPr>
        <w:t xml:space="preserve"> à </w:t>
      </w:r>
      <w:r>
        <w:rPr>
          <w:rFonts w:eastAsia="Verdana" w:cs="Verdana"/>
          <w:szCs w:val="22"/>
          <w:lang w:val="fr-CA"/>
        </w:rPr>
        <w:t>s</w:t>
      </w:r>
      <w:r w:rsidRPr="00811F8C">
        <w:rPr>
          <w:rFonts w:eastAsia="Verdana" w:cs="Verdana"/>
          <w:szCs w:val="22"/>
          <w:lang w:val="fr-CA"/>
        </w:rPr>
        <w:t>a bibliothèque afin de soutenir et de faciliter la prestation des services de</w:t>
      </w:r>
      <w:r>
        <w:rPr>
          <w:rFonts w:eastAsia="Verdana" w:cs="Verdana"/>
          <w:szCs w:val="22"/>
          <w:lang w:val="fr-CA"/>
        </w:rPr>
        <w:t xml:space="preserve"> cette</w:t>
      </w:r>
      <w:r w:rsidRPr="00811F8C">
        <w:rPr>
          <w:rFonts w:eastAsia="Verdana" w:cs="Verdana"/>
          <w:szCs w:val="22"/>
          <w:lang w:val="fr-CA"/>
        </w:rPr>
        <w:t xml:space="preserve"> bibliothèque. Aucune autre donnée personnelle, hormis le numéro de carte de bibliothèque, ne sera communiquée à la bibliothèque de l’</w:t>
      </w:r>
      <w:r w:rsidR="00861866">
        <w:rPr>
          <w:lang w:val="fr-CA"/>
        </w:rPr>
        <w:t>utilisateur</w:t>
      </w:r>
      <w:r w:rsidR="00861866">
        <w:rPr>
          <w:rFonts w:eastAsia="Verdana" w:cs="Verdana"/>
          <w:szCs w:val="22"/>
          <w:lang w:val="fr-CA"/>
        </w:rPr>
        <w:t xml:space="preserve"> </w:t>
      </w:r>
      <w:r>
        <w:rPr>
          <w:rFonts w:eastAsia="Verdana" w:cs="Verdana"/>
          <w:szCs w:val="22"/>
          <w:lang w:val="fr-CA"/>
        </w:rPr>
        <w:t>admissible</w:t>
      </w:r>
      <w:r w:rsidRPr="00811F8C">
        <w:rPr>
          <w:rFonts w:eastAsia="Verdana" w:cs="Verdana"/>
          <w:szCs w:val="22"/>
          <w:lang w:val="fr-CA"/>
        </w:rPr>
        <w:t xml:space="preserve"> sans l’autorisation expresse de ce dernier</w:t>
      </w:r>
      <w:r w:rsidR="46059D58" w:rsidRPr="00811F8C">
        <w:rPr>
          <w:rFonts w:eastAsia="Verdana" w:cs="Verdana"/>
          <w:szCs w:val="22"/>
          <w:lang w:val="fr-CA"/>
        </w:rPr>
        <w:t>.</w:t>
      </w:r>
    </w:p>
    <w:p w14:paraId="4387B6C8" w14:textId="6BA733FA" w:rsidR="00BA1761" w:rsidRPr="00811F8C" w:rsidRDefault="00811F8C" w:rsidP="00BA1761">
      <w:pPr>
        <w:rPr>
          <w:lang w:val="fr-CA"/>
        </w:rPr>
      </w:pPr>
      <w:r w:rsidRPr="00811F8C">
        <w:rPr>
          <w:lang w:val="fr-CA"/>
        </w:rPr>
        <w:t xml:space="preserve">Le </w:t>
      </w:r>
      <w:r w:rsidR="00FF2186" w:rsidRPr="00811F8C">
        <w:rPr>
          <w:lang w:val="fr-CA"/>
        </w:rPr>
        <w:t>CAÉB</w:t>
      </w:r>
      <w:r w:rsidRPr="00811F8C">
        <w:rPr>
          <w:lang w:val="fr-CA"/>
        </w:rPr>
        <w:t xml:space="preserve"> ne vend, ne loue ni ne divulgue de quelque manière que ce soit des</w:t>
      </w:r>
      <w:r>
        <w:rPr>
          <w:lang w:val="fr-CA"/>
        </w:rPr>
        <w:t xml:space="preserve"> données</w:t>
      </w:r>
      <w:r w:rsidRPr="00811F8C">
        <w:rPr>
          <w:lang w:val="fr-CA"/>
        </w:rPr>
        <w:t xml:space="preserve"> personnelles </w:t>
      </w:r>
      <w:r>
        <w:rPr>
          <w:lang w:val="fr-CA"/>
        </w:rPr>
        <w:t>d’</w:t>
      </w:r>
      <w:r w:rsidR="00861866">
        <w:rPr>
          <w:lang w:val="fr-CA"/>
        </w:rPr>
        <w:t>utilisateurs</w:t>
      </w:r>
      <w:r w:rsidRPr="00811F8C">
        <w:rPr>
          <w:lang w:val="fr-CA"/>
        </w:rPr>
        <w:t xml:space="preserve"> à des tiers, sauf </w:t>
      </w:r>
      <w:r>
        <w:rPr>
          <w:lang w:val="fr-CA"/>
        </w:rPr>
        <w:t xml:space="preserve">aux </w:t>
      </w:r>
      <w:r w:rsidRPr="00811F8C">
        <w:rPr>
          <w:lang w:val="fr-CA"/>
        </w:rPr>
        <w:t>bibliothèques dans les cas décrits ci-dessus</w:t>
      </w:r>
      <w:r w:rsidR="2A35ADDF" w:rsidRPr="00811F8C">
        <w:rPr>
          <w:lang w:val="fr-CA"/>
        </w:rPr>
        <w:t>.</w:t>
      </w:r>
    </w:p>
    <w:p w14:paraId="487BE136" w14:textId="5D2B6ABA" w:rsidR="00BA1761" w:rsidRPr="007E235F" w:rsidRDefault="007E235F" w:rsidP="00956F8E">
      <w:pPr>
        <w:pStyle w:val="Heading1"/>
        <w:rPr>
          <w:lang w:val="fr-CA"/>
        </w:rPr>
      </w:pPr>
      <w:r w:rsidRPr="007E235F">
        <w:rPr>
          <w:lang w:val="fr-CA"/>
        </w:rPr>
        <w:lastRenderedPageBreak/>
        <w:t>Recours à des prestataires de services</w:t>
      </w:r>
    </w:p>
    <w:p w14:paraId="537BA431" w14:textId="169C6ED2" w:rsidR="00BA1761" w:rsidRPr="00BA1761" w:rsidRDefault="00811F8C" w:rsidP="00BA1761">
      <w:r w:rsidRPr="007E235F">
        <w:rPr>
          <w:lang w:val="fr-CA"/>
        </w:rPr>
        <w:t xml:space="preserve">Le </w:t>
      </w:r>
      <w:r w:rsidR="00FF2186" w:rsidRPr="007E235F">
        <w:rPr>
          <w:lang w:val="fr-CA"/>
        </w:rPr>
        <w:t>CAÉB</w:t>
      </w:r>
      <w:r w:rsidR="007E235F" w:rsidRPr="007E235F">
        <w:rPr>
          <w:lang w:val="fr-CA"/>
        </w:rPr>
        <w:t xml:space="preserve"> peut faire appel à des prestataires de services pour gérer, en son nom, certains services informatiques et de </w:t>
      </w:r>
      <w:r w:rsidR="007E235F">
        <w:rPr>
          <w:lang w:val="fr-CA"/>
        </w:rPr>
        <w:t xml:space="preserve">gestion des </w:t>
      </w:r>
      <w:r w:rsidR="007E235F" w:rsidRPr="007E235F">
        <w:rPr>
          <w:lang w:val="fr-CA"/>
        </w:rPr>
        <w:t xml:space="preserve">données. </w:t>
      </w:r>
      <w:r w:rsidR="007E235F" w:rsidRPr="007E235F">
        <w:t xml:space="preserve">Il </w:t>
      </w:r>
      <w:proofErr w:type="spellStart"/>
      <w:r w:rsidR="007E235F" w:rsidRPr="007E235F">
        <w:t>peut</w:t>
      </w:r>
      <w:proofErr w:type="spellEnd"/>
      <w:r w:rsidR="007E235F" w:rsidRPr="007E235F">
        <w:t xml:space="preserve"> </w:t>
      </w:r>
      <w:proofErr w:type="spellStart"/>
      <w:r w:rsidR="007E235F" w:rsidRPr="007E235F">
        <w:t>s</w:t>
      </w:r>
      <w:r w:rsidR="007E235F">
        <w:t>’</w:t>
      </w:r>
      <w:r w:rsidR="007E235F" w:rsidRPr="007E235F">
        <w:t>agir</w:t>
      </w:r>
      <w:proofErr w:type="spellEnd"/>
      <w:r w:rsidR="007E235F" w:rsidRPr="007E235F">
        <w:t xml:space="preserve"> </w:t>
      </w:r>
      <w:proofErr w:type="spellStart"/>
      <w:proofErr w:type="gramStart"/>
      <w:r w:rsidR="007E235F" w:rsidRPr="007E235F">
        <w:t>notamment</w:t>
      </w:r>
      <w:proofErr w:type="spellEnd"/>
      <w:r w:rsidR="007E235F">
        <w:t> </w:t>
      </w:r>
      <w:r w:rsidR="00BA1761" w:rsidRPr="00BA1761">
        <w:t>:</w:t>
      </w:r>
      <w:proofErr w:type="gramEnd"/>
    </w:p>
    <w:p w14:paraId="4956C1E5" w14:textId="4A3EF273" w:rsidR="00BA1761" w:rsidRPr="007E235F" w:rsidRDefault="007E235F" w:rsidP="00BA1761">
      <w:pPr>
        <w:pStyle w:val="ListParagraph"/>
        <w:numPr>
          <w:ilvl w:val="0"/>
          <w:numId w:val="3"/>
        </w:numPr>
        <w:rPr>
          <w:lang w:val="fr-CA"/>
        </w:rPr>
      </w:pPr>
      <w:proofErr w:type="gramStart"/>
      <w:r>
        <w:rPr>
          <w:lang w:val="fr-CA"/>
        </w:rPr>
        <w:t>du</w:t>
      </w:r>
      <w:proofErr w:type="gramEnd"/>
      <w:r w:rsidRPr="007E235F">
        <w:rPr>
          <w:lang w:val="fr-CA"/>
        </w:rPr>
        <w:t xml:space="preserve"> soutien et de</w:t>
      </w:r>
      <w:r>
        <w:rPr>
          <w:lang w:val="fr-CA"/>
        </w:rPr>
        <w:t xml:space="preserve"> la</w:t>
      </w:r>
      <w:r w:rsidRPr="007E235F">
        <w:rPr>
          <w:lang w:val="fr-CA"/>
        </w:rPr>
        <w:t xml:space="preserve"> maintenance de technologie</w:t>
      </w:r>
      <w:r>
        <w:rPr>
          <w:lang w:val="fr-CA"/>
        </w:rPr>
        <w:t>s</w:t>
      </w:r>
      <w:r w:rsidRPr="007E235F">
        <w:rPr>
          <w:lang w:val="fr-CA"/>
        </w:rPr>
        <w:t xml:space="preserve"> de l’information (TI)</w:t>
      </w:r>
    </w:p>
    <w:p w14:paraId="20593CB8" w14:textId="3F51760B" w:rsidR="00BA1761" w:rsidRPr="007E235F" w:rsidRDefault="007E235F" w:rsidP="007E235F">
      <w:pPr>
        <w:numPr>
          <w:ilvl w:val="0"/>
          <w:numId w:val="3"/>
        </w:numPr>
        <w:rPr>
          <w:lang w:val="fr-CA"/>
        </w:rPr>
      </w:pPr>
      <w:proofErr w:type="gramStart"/>
      <w:r>
        <w:rPr>
          <w:lang w:val="fr-CA"/>
        </w:rPr>
        <w:t>d</w:t>
      </w:r>
      <w:r w:rsidRPr="007E235F">
        <w:rPr>
          <w:lang w:val="fr-CA"/>
        </w:rPr>
        <w:t>e</w:t>
      </w:r>
      <w:proofErr w:type="gramEnd"/>
      <w:r w:rsidRPr="007E235F">
        <w:rPr>
          <w:rFonts w:ascii="Times New Roman" w:eastAsia="Times New Roman" w:hAnsi="Times New Roman" w:cs="Times New Roman"/>
          <w:kern w:val="0"/>
          <w:sz w:val="24"/>
          <w:lang w:val="fr-CA" w:eastAsia="fr-CA"/>
          <w14:ligatures w14:val="none"/>
        </w:rPr>
        <w:t xml:space="preserve"> </w:t>
      </w:r>
      <w:r w:rsidRPr="007E235F">
        <w:rPr>
          <w:lang w:val="fr-CA"/>
        </w:rPr>
        <w:t>l</w:t>
      </w:r>
      <w:r>
        <w:rPr>
          <w:lang w:val="fr-CA"/>
        </w:rPr>
        <w:t>’</w:t>
      </w:r>
      <w:r w:rsidRPr="007E235F">
        <w:rPr>
          <w:lang w:val="fr-CA"/>
        </w:rPr>
        <w:t>hébergement de données et d</w:t>
      </w:r>
      <w:r>
        <w:rPr>
          <w:lang w:val="fr-CA"/>
        </w:rPr>
        <w:t>e</w:t>
      </w:r>
      <w:r w:rsidRPr="007E235F">
        <w:rPr>
          <w:lang w:val="fr-CA"/>
        </w:rPr>
        <w:t xml:space="preserve"> stockage en nuage</w:t>
      </w:r>
    </w:p>
    <w:p w14:paraId="1A7B201C" w14:textId="47059250" w:rsidR="00BA1761" w:rsidRPr="007E235F" w:rsidRDefault="007E235F" w:rsidP="00BA1761">
      <w:pPr>
        <w:numPr>
          <w:ilvl w:val="0"/>
          <w:numId w:val="3"/>
        </w:numPr>
        <w:rPr>
          <w:lang w:val="fr-CA"/>
        </w:rPr>
      </w:pPr>
      <w:r w:rsidRPr="007E235F">
        <w:rPr>
          <w:lang w:val="fr-CA"/>
        </w:rPr>
        <w:t>D</w:t>
      </w:r>
      <w:r>
        <w:rPr>
          <w:lang w:val="fr-CA"/>
        </w:rPr>
        <w:t>e l’</w:t>
      </w:r>
      <w:r w:rsidRPr="007E235F">
        <w:rPr>
          <w:lang w:val="fr-CA"/>
        </w:rPr>
        <w:t>exploitation et d</w:t>
      </w:r>
      <w:r>
        <w:rPr>
          <w:lang w:val="fr-CA"/>
        </w:rPr>
        <w:t>e l’</w:t>
      </w:r>
      <w:r w:rsidRPr="007E235F">
        <w:rPr>
          <w:lang w:val="fr-CA"/>
        </w:rPr>
        <w:t>analyse de s</w:t>
      </w:r>
      <w:r>
        <w:rPr>
          <w:lang w:val="fr-CA"/>
        </w:rPr>
        <w:t xml:space="preserve">ites </w:t>
      </w:r>
      <w:r w:rsidR="00BA1761" w:rsidRPr="007E235F">
        <w:rPr>
          <w:lang w:val="fr-CA"/>
        </w:rPr>
        <w:t>Web</w:t>
      </w:r>
    </w:p>
    <w:p w14:paraId="008B8DAB" w14:textId="01B92E31" w:rsidR="00BA1761" w:rsidRPr="007E235F" w:rsidRDefault="007E235F" w:rsidP="00BA1761">
      <w:pPr>
        <w:numPr>
          <w:ilvl w:val="0"/>
          <w:numId w:val="3"/>
        </w:numPr>
        <w:rPr>
          <w:lang w:val="fr-CA"/>
        </w:rPr>
      </w:pPr>
      <w:r w:rsidRPr="007E235F">
        <w:rPr>
          <w:lang w:val="fr-CA"/>
        </w:rPr>
        <w:t>D</w:t>
      </w:r>
      <w:r>
        <w:rPr>
          <w:lang w:val="fr-CA"/>
        </w:rPr>
        <w:t>u</w:t>
      </w:r>
      <w:r w:rsidRPr="007E235F">
        <w:rPr>
          <w:lang w:val="fr-CA"/>
        </w:rPr>
        <w:t xml:space="preserve"> soutien aux </w:t>
      </w:r>
      <w:r w:rsidR="00861866">
        <w:rPr>
          <w:lang w:val="fr-CA"/>
        </w:rPr>
        <w:t>utilisateurs</w:t>
      </w:r>
      <w:r w:rsidRPr="007E235F">
        <w:rPr>
          <w:lang w:val="fr-CA"/>
        </w:rPr>
        <w:t xml:space="preserve">, </w:t>
      </w:r>
      <w:r>
        <w:rPr>
          <w:lang w:val="fr-CA"/>
        </w:rPr>
        <w:t>y compris par téléphone et par courriel</w:t>
      </w:r>
    </w:p>
    <w:p w14:paraId="04C69525" w14:textId="5CB1CAFD" w:rsidR="00BA1761" w:rsidRPr="00D00594" w:rsidRDefault="007E235F" w:rsidP="00BA1761">
      <w:pPr>
        <w:rPr>
          <w:lang w:val="fr-CA"/>
        </w:rPr>
      </w:pPr>
      <w:r w:rsidRPr="00D00594">
        <w:rPr>
          <w:lang w:val="fr-CA"/>
        </w:rPr>
        <w:t>Les prestataires de services</w:t>
      </w:r>
      <w:r w:rsidR="00D00594" w:rsidRPr="00D00594">
        <w:rPr>
          <w:lang w:val="fr-CA"/>
        </w:rPr>
        <w:t xml:space="preserve"> sont soumis à des exigences strictes en matière de confidentialité et de sécurité</w:t>
      </w:r>
      <w:r w:rsidR="00BA1761" w:rsidRPr="00D00594">
        <w:rPr>
          <w:lang w:val="fr-CA"/>
        </w:rPr>
        <w:t>.</w:t>
      </w:r>
      <w:r w:rsidR="00D00594" w:rsidRPr="00D00594">
        <w:rPr>
          <w:lang w:val="fr-CA"/>
        </w:rPr>
        <w:t xml:space="preserve"> Ils ne peuvent utiliser les données personnel</w:t>
      </w:r>
      <w:r w:rsidR="00D00594">
        <w:rPr>
          <w:lang w:val="fr-CA"/>
        </w:rPr>
        <w:t>les</w:t>
      </w:r>
      <w:r w:rsidR="00D00594" w:rsidRPr="00D00594">
        <w:rPr>
          <w:lang w:val="fr-CA"/>
        </w:rPr>
        <w:t xml:space="preserve"> que pour fournir des services </w:t>
      </w:r>
      <w:r w:rsidR="00D00594">
        <w:rPr>
          <w:lang w:val="fr-CA"/>
        </w:rPr>
        <w:t>au</w:t>
      </w:r>
      <w:r w:rsidR="00D00594" w:rsidRPr="00D00594">
        <w:rPr>
          <w:lang w:val="fr-CA"/>
        </w:rPr>
        <w:t xml:space="preserve"> CAÉB, et non</w:t>
      </w:r>
      <w:r w:rsidR="00D00594" w:rsidRPr="00D00594">
        <w:rPr>
          <w:rFonts w:ascii="Arial" w:hAnsi="Arial" w:cs="Arial"/>
          <w:color w:val="181818"/>
          <w:sz w:val="18"/>
          <w:szCs w:val="18"/>
          <w:shd w:val="clear" w:color="auto" w:fill="FFFCCF"/>
          <w:lang w:val="fr-CA"/>
        </w:rPr>
        <w:t xml:space="preserve"> </w:t>
      </w:r>
      <w:r w:rsidR="00D00594" w:rsidRPr="00D00594">
        <w:rPr>
          <w:lang w:val="fr-CA"/>
        </w:rPr>
        <w:t>pas pour leur propre usage.</w:t>
      </w:r>
      <w:r w:rsidR="00D00594">
        <w:rPr>
          <w:lang w:val="fr-CA"/>
        </w:rPr>
        <w:t xml:space="preserve"> </w:t>
      </w:r>
      <w:r w:rsidR="00D00594" w:rsidRPr="00D00594">
        <w:rPr>
          <w:lang w:val="fr-CA"/>
        </w:rPr>
        <w:t xml:space="preserve">Le </w:t>
      </w:r>
      <w:r w:rsidR="00FF2186" w:rsidRPr="00D00594">
        <w:rPr>
          <w:lang w:val="fr-CA"/>
        </w:rPr>
        <w:t>CAÉB</w:t>
      </w:r>
      <w:r w:rsidR="00D00594" w:rsidRPr="00D00594">
        <w:rPr>
          <w:lang w:val="fr-CA"/>
        </w:rPr>
        <w:t xml:space="preserve"> veille à ce que tous les prestataires de services respectent ou dépassent nos normes de confidentialité et de sécurité grâce à des accords écrits et à un contrôle régulier</w:t>
      </w:r>
      <w:r w:rsidR="00BA1761" w:rsidRPr="00D00594">
        <w:rPr>
          <w:lang w:val="fr-CA"/>
        </w:rPr>
        <w:t>.</w:t>
      </w:r>
    </w:p>
    <w:p w14:paraId="51544C83" w14:textId="62F8C7AF" w:rsidR="00BA1761" w:rsidRPr="00D00594" w:rsidRDefault="00BA1761" w:rsidP="00956F8E">
      <w:pPr>
        <w:pStyle w:val="Heading1"/>
        <w:rPr>
          <w:lang w:val="fr-CA"/>
        </w:rPr>
      </w:pPr>
      <w:r w:rsidRPr="00D00594">
        <w:rPr>
          <w:lang w:val="fr-CA"/>
        </w:rPr>
        <w:t>S</w:t>
      </w:r>
      <w:r w:rsidR="00D00594" w:rsidRPr="00D00594">
        <w:rPr>
          <w:lang w:val="fr-CA"/>
        </w:rPr>
        <w:t>é</w:t>
      </w:r>
      <w:r w:rsidRPr="00D00594">
        <w:rPr>
          <w:lang w:val="fr-CA"/>
        </w:rPr>
        <w:t>curit</w:t>
      </w:r>
      <w:r w:rsidR="00D00594" w:rsidRPr="00D00594">
        <w:rPr>
          <w:lang w:val="fr-CA"/>
        </w:rPr>
        <w:t>é des données personnelles</w:t>
      </w:r>
    </w:p>
    <w:p w14:paraId="2A081909" w14:textId="1FA7E8F7" w:rsidR="00BA1761" w:rsidRPr="00D00594" w:rsidRDefault="00811F8C" w:rsidP="00BA1761">
      <w:pPr>
        <w:rPr>
          <w:lang w:val="fr-CA"/>
        </w:rPr>
      </w:pPr>
      <w:r w:rsidRPr="00D00594">
        <w:rPr>
          <w:lang w:val="fr-CA"/>
        </w:rPr>
        <w:t xml:space="preserve">Le </w:t>
      </w:r>
      <w:r w:rsidR="00FF2186" w:rsidRPr="00D00594">
        <w:rPr>
          <w:lang w:val="fr-CA"/>
        </w:rPr>
        <w:t xml:space="preserve">CAÉB </w:t>
      </w:r>
      <w:r w:rsidR="00D00594" w:rsidRPr="00D00594">
        <w:rPr>
          <w:lang w:val="fr-CA"/>
        </w:rPr>
        <w:t xml:space="preserve">conserve les </w:t>
      </w:r>
      <w:r w:rsidR="00D00594">
        <w:rPr>
          <w:lang w:val="fr-CA"/>
        </w:rPr>
        <w:t>données</w:t>
      </w:r>
      <w:r w:rsidR="00D00594" w:rsidRPr="00D00594">
        <w:rPr>
          <w:lang w:val="fr-CA"/>
        </w:rPr>
        <w:t xml:space="preserve"> personnel</w:t>
      </w:r>
      <w:r w:rsidR="00D00594">
        <w:rPr>
          <w:lang w:val="fr-CA"/>
        </w:rPr>
        <w:t>le</w:t>
      </w:r>
      <w:r w:rsidR="00D00594" w:rsidRPr="00D00594">
        <w:rPr>
          <w:lang w:val="fr-CA"/>
        </w:rPr>
        <w:t>s dans des systèmes de stockage de données sécurisés, sur des serveurs situés au Canada, afin de les protéger contre tout accès, utilisation ou divulgation non autorisés</w:t>
      </w:r>
      <w:r w:rsidR="00BA1761" w:rsidRPr="00D00594">
        <w:rPr>
          <w:lang w:val="fr-CA"/>
        </w:rPr>
        <w:t>.</w:t>
      </w:r>
    </w:p>
    <w:p w14:paraId="13B547E3" w14:textId="2768F03C" w:rsidR="00BA1761" w:rsidRPr="00D00594" w:rsidRDefault="00811F8C" w:rsidP="00BA1761">
      <w:pPr>
        <w:rPr>
          <w:lang w:val="fr-CA"/>
        </w:rPr>
      </w:pPr>
      <w:r w:rsidRPr="00D00594">
        <w:rPr>
          <w:lang w:val="fr-CA"/>
        </w:rPr>
        <w:t xml:space="preserve">Le </w:t>
      </w:r>
      <w:r w:rsidR="00FF2186" w:rsidRPr="00D00594">
        <w:rPr>
          <w:lang w:val="fr-CA"/>
        </w:rPr>
        <w:t>CAÉB</w:t>
      </w:r>
      <w:r w:rsidR="00D00594" w:rsidRPr="00D00594">
        <w:rPr>
          <w:lang w:val="fr-CA"/>
        </w:rPr>
        <w:t xml:space="preserve"> garantit la confidentialité absolue de tou</w:t>
      </w:r>
      <w:r w:rsidR="00D00594">
        <w:rPr>
          <w:lang w:val="fr-CA"/>
        </w:rPr>
        <w:t>te</w:t>
      </w:r>
      <w:r w:rsidR="00D00594" w:rsidRPr="00D00594">
        <w:rPr>
          <w:lang w:val="fr-CA"/>
        </w:rPr>
        <w:t xml:space="preserve">s les </w:t>
      </w:r>
      <w:r w:rsidR="00D00594">
        <w:rPr>
          <w:lang w:val="fr-CA"/>
        </w:rPr>
        <w:t>données</w:t>
      </w:r>
      <w:r w:rsidR="00D00594" w:rsidRPr="00D00594">
        <w:rPr>
          <w:lang w:val="fr-CA"/>
        </w:rPr>
        <w:t xml:space="preserve"> personnel</w:t>
      </w:r>
      <w:r w:rsidR="00D00594">
        <w:rPr>
          <w:lang w:val="fr-CA"/>
        </w:rPr>
        <w:t>le</w:t>
      </w:r>
      <w:r w:rsidR="00D00594" w:rsidRPr="00D00594">
        <w:rPr>
          <w:lang w:val="fr-CA"/>
        </w:rPr>
        <w:t>s et ne les communique qu</w:t>
      </w:r>
      <w:r w:rsidR="00D00594">
        <w:rPr>
          <w:lang w:val="fr-CA"/>
        </w:rPr>
        <w:t>’</w:t>
      </w:r>
      <w:r w:rsidR="00D00594" w:rsidRPr="00D00594">
        <w:rPr>
          <w:lang w:val="fr-CA"/>
        </w:rPr>
        <w:t>aux employés et aux sous-traitants du CAÉB qui en ont besoin aux fins décrites ci-dessus</w:t>
      </w:r>
      <w:r w:rsidR="00BA1761" w:rsidRPr="00D00594">
        <w:rPr>
          <w:lang w:val="fr-CA"/>
        </w:rPr>
        <w:t>.</w:t>
      </w:r>
    </w:p>
    <w:p w14:paraId="0167FD26" w14:textId="77777777" w:rsidR="00E63D9A" w:rsidRPr="00861866" w:rsidRDefault="00E63D9A" w:rsidP="00BA1761">
      <w:pPr>
        <w:rPr>
          <w:rFonts w:eastAsiaTheme="majorEastAsia" w:cstheme="majorBidi"/>
          <w:color w:val="0F4761" w:themeColor="accent1" w:themeShade="BF"/>
          <w:sz w:val="32"/>
          <w:szCs w:val="40"/>
          <w:lang w:val="fr-CA"/>
        </w:rPr>
      </w:pPr>
      <w:r w:rsidRPr="00861866">
        <w:rPr>
          <w:rFonts w:eastAsiaTheme="majorEastAsia" w:cstheme="majorBidi"/>
          <w:color w:val="0F4761" w:themeColor="accent1" w:themeShade="BF"/>
          <w:sz w:val="32"/>
          <w:szCs w:val="40"/>
          <w:lang w:val="fr-CA"/>
        </w:rPr>
        <w:t>Conservation</w:t>
      </w:r>
    </w:p>
    <w:p w14:paraId="33779930" w14:textId="2BFEAE5B" w:rsidR="00BA1761" w:rsidRPr="00E63D9A" w:rsidRDefault="00E63D9A" w:rsidP="00BA1761">
      <w:pPr>
        <w:rPr>
          <w:lang w:val="fr-CA"/>
        </w:rPr>
      </w:pPr>
      <w:r w:rsidRPr="00E63D9A">
        <w:rPr>
          <w:lang w:val="fr-CA"/>
        </w:rPr>
        <w:t>Les renseignements personnels ne sont conservés que pendant la durée nécessaire ou pertinente au regard des finalités susmentionnées, ou conformément aux exigences légales applicables</w:t>
      </w:r>
      <w:r w:rsidR="00BA1761" w:rsidRPr="00E63D9A">
        <w:rPr>
          <w:lang w:val="fr-CA"/>
        </w:rPr>
        <w:t>.</w:t>
      </w:r>
    </w:p>
    <w:p w14:paraId="0E3C938B" w14:textId="13C5B603" w:rsidR="00BA1761" w:rsidRPr="00E63D9A" w:rsidRDefault="00E63D9A" w:rsidP="00956F8E">
      <w:pPr>
        <w:pStyle w:val="Heading1"/>
        <w:rPr>
          <w:lang w:val="fr-CA"/>
        </w:rPr>
      </w:pPr>
      <w:r w:rsidRPr="00E63D9A">
        <w:rPr>
          <w:lang w:val="fr-CA"/>
        </w:rPr>
        <w:t>Notification en cas de violation de la sécurité</w:t>
      </w:r>
    </w:p>
    <w:p w14:paraId="44F4EB73" w14:textId="704F67AB" w:rsidR="00BA1761" w:rsidRPr="00E63D9A" w:rsidRDefault="00E63D9A" w:rsidP="00BA1761">
      <w:pPr>
        <w:rPr>
          <w:lang w:val="fr-CA"/>
        </w:rPr>
      </w:pPr>
      <w:r w:rsidRPr="00E63D9A">
        <w:rPr>
          <w:lang w:val="fr-CA"/>
        </w:rPr>
        <w:t xml:space="preserve">Si le </w:t>
      </w:r>
      <w:r w:rsidR="00FF2186" w:rsidRPr="00E63D9A">
        <w:rPr>
          <w:lang w:val="fr-CA"/>
        </w:rPr>
        <w:t>CAÉB</w:t>
      </w:r>
      <w:r w:rsidRPr="00E63D9A">
        <w:rPr>
          <w:lang w:val="fr-CA"/>
        </w:rPr>
        <w:t xml:space="preserve"> constate une violation de la confidentialité ou de la sécurité concernant des données personnel</w:t>
      </w:r>
      <w:r>
        <w:rPr>
          <w:lang w:val="fr-CA"/>
        </w:rPr>
        <w:t>les</w:t>
      </w:r>
      <w:r w:rsidRPr="00E63D9A">
        <w:rPr>
          <w:lang w:val="fr-CA"/>
        </w:rPr>
        <w:t xml:space="preserve"> dont elle a la</w:t>
      </w:r>
      <w:r>
        <w:rPr>
          <w:lang w:val="fr-CA"/>
        </w:rPr>
        <w:t xml:space="preserve"> responsabilité</w:t>
      </w:r>
      <w:r w:rsidRPr="00E63D9A">
        <w:rPr>
          <w:lang w:val="fr-CA"/>
        </w:rPr>
        <w:t xml:space="preserve">, </w:t>
      </w:r>
      <w:r>
        <w:rPr>
          <w:lang w:val="fr-CA"/>
        </w:rPr>
        <w:t>le</w:t>
      </w:r>
      <w:r w:rsidRPr="00E63D9A">
        <w:rPr>
          <w:lang w:val="fr-CA"/>
        </w:rPr>
        <w:t xml:space="preserve"> plan d</w:t>
      </w:r>
      <w:r>
        <w:rPr>
          <w:lang w:val="fr-CA"/>
        </w:rPr>
        <w:t>’</w:t>
      </w:r>
      <w:r w:rsidRPr="00E63D9A">
        <w:rPr>
          <w:lang w:val="fr-CA"/>
        </w:rPr>
        <w:t>intervention en cas d</w:t>
      </w:r>
      <w:r>
        <w:rPr>
          <w:lang w:val="fr-CA"/>
        </w:rPr>
        <w:t>’</w:t>
      </w:r>
      <w:r w:rsidRPr="00E63D9A">
        <w:rPr>
          <w:lang w:val="fr-CA"/>
        </w:rPr>
        <w:t>incident de cybersécurité</w:t>
      </w:r>
      <w:r>
        <w:rPr>
          <w:lang w:val="fr-CA"/>
        </w:rPr>
        <w:t xml:space="preserve"> sera appliqué </w:t>
      </w:r>
      <w:r w:rsidR="00BA1761" w:rsidRPr="00E63D9A">
        <w:rPr>
          <w:lang w:val="fr-CA"/>
        </w:rPr>
        <w:t>:</w:t>
      </w:r>
    </w:p>
    <w:p w14:paraId="02F97E36" w14:textId="04AAC3B9" w:rsidR="00BA1761" w:rsidRPr="00861866" w:rsidRDefault="00E63D9A" w:rsidP="00E63D9A">
      <w:pPr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t>Prise de mesures immédiates pour limiter la portée de la violation et empêcher tout nouvel accès non autorisé</w:t>
      </w:r>
    </w:p>
    <w:p w14:paraId="386B9284" w14:textId="46BA0EDD" w:rsidR="00BA1761" w:rsidRPr="00861866" w:rsidRDefault="00E63D9A" w:rsidP="00E63D9A">
      <w:pPr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lastRenderedPageBreak/>
        <w:t>Évaluation du risque de préjudice pour les personnes dont les données pourraient être concernées</w:t>
      </w:r>
    </w:p>
    <w:p w14:paraId="11E0B4F0" w14:textId="29F8E5E7" w:rsidR="00BA1761" w:rsidRPr="00E63D9A" w:rsidRDefault="00E63D9A" w:rsidP="00E63D9A">
      <w:pPr>
        <w:pStyle w:val="ListParagraph"/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t>Notification des personnes concernées dès que possible si la violation présente un risque réel de préjudice grave</w:t>
      </w:r>
    </w:p>
    <w:p w14:paraId="748A23A4" w14:textId="66A58509" w:rsidR="00BA1761" w:rsidRPr="00A8744F" w:rsidRDefault="00E63D9A" w:rsidP="00E63D9A">
      <w:pPr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t xml:space="preserve">Notification </w:t>
      </w:r>
      <w:r>
        <w:rPr>
          <w:lang w:val="fr-CA"/>
        </w:rPr>
        <w:t>des</w:t>
      </w:r>
      <w:r w:rsidRPr="00E63D9A">
        <w:rPr>
          <w:rFonts w:ascii="Times New Roman" w:eastAsia="Times New Roman" w:hAnsi="Times New Roman" w:cs="Times New Roman"/>
          <w:kern w:val="0"/>
          <w:sz w:val="24"/>
          <w:lang w:val="fr-CA" w:eastAsia="fr-CA"/>
          <w14:ligatures w14:val="none"/>
        </w:rPr>
        <w:t xml:space="preserve"> </w:t>
      </w:r>
      <w:r w:rsidRPr="00E63D9A">
        <w:rPr>
          <w:lang w:val="fr-CA"/>
        </w:rPr>
        <w:t>autorités compétentes</w:t>
      </w:r>
      <w:r w:rsidR="00A8744F">
        <w:rPr>
          <w:lang w:val="fr-CA"/>
        </w:rPr>
        <w:t>,</w:t>
      </w:r>
      <w:r w:rsidRPr="00E63D9A">
        <w:rPr>
          <w:lang w:val="fr-CA"/>
        </w:rPr>
        <w:t xml:space="preserve"> conformément à la loi</w:t>
      </w:r>
    </w:p>
    <w:p w14:paraId="72863D37" w14:textId="6A4A4B3A" w:rsidR="00BA1761" w:rsidRPr="00861866" w:rsidRDefault="00E63D9A" w:rsidP="00E63D9A">
      <w:pPr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t>I</w:t>
      </w:r>
      <w:r w:rsidR="00BA1761" w:rsidRPr="00E63D9A">
        <w:rPr>
          <w:lang w:val="fr-CA"/>
        </w:rPr>
        <w:t>nformation</w:t>
      </w:r>
      <w:r>
        <w:rPr>
          <w:lang w:val="fr-CA"/>
        </w:rPr>
        <w:t xml:space="preserve"> d</w:t>
      </w:r>
      <w:r w:rsidRPr="00E63D9A">
        <w:rPr>
          <w:lang w:val="fr-CA"/>
        </w:rPr>
        <w:t xml:space="preserve">es personnes concernées </w:t>
      </w:r>
      <w:r>
        <w:rPr>
          <w:lang w:val="fr-CA"/>
        </w:rPr>
        <w:t xml:space="preserve">et aide à </w:t>
      </w:r>
      <w:r w:rsidRPr="00E63D9A">
        <w:rPr>
          <w:lang w:val="fr-CA"/>
        </w:rPr>
        <w:t>se protéger</w:t>
      </w:r>
    </w:p>
    <w:p w14:paraId="22E763E3" w14:textId="751375DE" w:rsidR="00BA1761" w:rsidRPr="00861866" w:rsidRDefault="00BA1761" w:rsidP="00BA1761">
      <w:pPr>
        <w:numPr>
          <w:ilvl w:val="0"/>
          <w:numId w:val="6"/>
        </w:numPr>
        <w:rPr>
          <w:lang w:val="fr-CA"/>
        </w:rPr>
      </w:pPr>
      <w:r w:rsidRPr="00E63D9A">
        <w:rPr>
          <w:lang w:val="fr-CA"/>
        </w:rPr>
        <w:t>R</w:t>
      </w:r>
      <w:r w:rsidR="00E63D9A" w:rsidRPr="00E63D9A">
        <w:rPr>
          <w:lang w:val="fr-CA"/>
        </w:rPr>
        <w:t>éexamen et renforcement des mesures de protection afin d’éviter que des incidents similaires ne se reproduisent</w:t>
      </w:r>
    </w:p>
    <w:p w14:paraId="21EFCD83" w14:textId="065903A5" w:rsidR="00BA1761" w:rsidRPr="00083CA4" w:rsidRDefault="00083CA4" w:rsidP="00BA1761">
      <w:pPr>
        <w:rPr>
          <w:lang w:val="fr-CA"/>
        </w:rPr>
      </w:pPr>
      <w:r w:rsidRPr="00083CA4">
        <w:rPr>
          <w:lang w:val="fr-CA"/>
        </w:rPr>
        <w:t>Les notifications seront rédigées dans un langage simple et dans un format accessible, conformément à l</w:t>
      </w:r>
      <w:r>
        <w:rPr>
          <w:lang w:val="fr-CA"/>
        </w:rPr>
        <w:t>’</w:t>
      </w:r>
      <w:r w:rsidRPr="00083CA4">
        <w:rPr>
          <w:lang w:val="fr-CA"/>
        </w:rPr>
        <w:t>engagement d</w:t>
      </w:r>
      <w:r>
        <w:rPr>
          <w:lang w:val="fr-CA"/>
        </w:rPr>
        <w:t>u</w:t>
      </w:r>
      <w:r w:rsidRPr="00083CA4">
        <w:rPr>
          <w:lang w:val="fr-CA"/>
        </w:rPr>
        <w:t xml:space="preserve"> CAÉB en matière d</w:t>
      </w:r>
      <w:r>
        <w:rPr>
          <w:lang w:val="fr-CA"/>
        </w:rPr>
        <w:t>’</w:t>
      </w:r>
      <w:r w:rsidRPr="00083CA4">
        <w:rPr>
          <w:lang w:val="fr-CA"/>
        </w:rPr>
        <w:t>accessibilité et de transparence</w:t>
      </w:r>
      <w:r w:rsidR="00BA1761" w:rsidRPr="00083CA4">
        <w:rPr>
          <w:lang w:val="fr-CA"/>
        </w:rPr>
        <w:t>.</w:t>
      </w:r>
    </w:p>
    <w:p w14:paraId="07ABF076" w14:textId="4D24B72E" w:rsidR="00BA1761" w:rsidRPr="00861866" w:rsidRDefault="00083CA4" w:rsidP="00956F8E">
      <w:pPr>
        <w:pStyle w:val="Heading1"/>
        <w:rPr>
          <w:lang w:val="fr-CA"/>
        </w:rPr>
      </w:pPr>
      <w:r w:rsidRPr="00861866">
        <w:rPr>
          <w:lang w:val="fr-CA"/>
        </w:rPr>
        <w:t>Comment nous joindre</w:t>
      </w:r>
    </w:p>
    <w:p w14:paraId="6A34987C" w14:textId="154FD299" w:rsidR="00BA1761" w:rsidRPr="00ED67BB" w:rsidRDefault="00ED67BB" w:rsidP="00BA1761">
      <w:pPr>
        <w:rPr>
          <w:lang w:val="fr-CA"/>
        </w:rPr>
      </w:pPr>
      <w:r w:rsidRPr="00ED67BB">
        <w:rPr>
          <w:lang w:val="fr-CA"/>
        </w:rPr>
        <w:t xml:space="preserve">Les </w:t>
      </w:r>
      <w:r w:rsidR="00861866">
        <w:rPr>
          <w:lang w:val="fr-CA"/>
        </w:rPr>
        <w:t>utilisateurs</w:t>
      </w:r>
      <w:r w:rsidR="00861866" w:rsidRPr="00ED67BB">
        <w:rPr>
          <w:lang w:val="fr-CA"/>
        </w:rPr>
        <w:t xml:space="preserve"> </w:t>
      </w:r>
      <w:r w:rsidRPr="00ED67BB">
        <w:rPr>
          <w:lang w:val="fr-CA"/>
        </w:rPr>
        <w:t>consentent à la collecte, à l</w:t>
      </w:r>
      <w:r>
        <w:rPr>
          <w:lang w:val="fr-CA"/>
        </w:rPr>
        <w:t>’</w:t>
      </w:r>
      <w:r w:rsidRPr="00ED67BB">
        <w:rPr>
          <w:lang w:val="fr-CA"/>
        </w:rPr>
        <w:t xml:space="preserve">utilisation et à la divulgation de leurs </w:t>
      </w:r>
      <w:r>
        <w:rPr>
          <w:lang w:val="fr-CA"/>
        </w:rPr>
        <w:t>données</w:t>
      </w:r>
      <w:r w:rsidRPr="00ED67BB">
        <w:rPr>
          <w:lang w:val="fr-CA"/>
        </w:rPr>
        <w:t xml:space="preserve"> personnelles telles que décrites dans la présente politique. </w:t>
      </w:r>
      <w:r>
        <w:rPr>
          <w:lang w:val="fr-CA"/>
        </w:rPr>
        <w:t xml:space="preserve">Tout </w:t>
      </w:r>
      <w:r w:rsidR="00861866">
        <w:rPr>
          <w:lang w:val="fr-CA"/>
        </w:rPr>
        <w:t>utilisateur</w:t>
      </w:r>
      <w:r w:rsidR="00861866" w:rsidRPr="00ED67BB">
        <w:rPr>
          <w:lang w:val="fr-CA"/>
        </w:rPr>
        <w:t xml:space="preserve"> </w:t>
      </w:r>
      <w:r w:rsidRPr="00ED67BB">
        <w:rPr>
          <w:lang w:val="fr-CA"/>
        </w:rPr>
        <w:t xml:space="preserve">peut retirer son consentement </w:t>
      </w:r>
      <w:r>
        <w:rPr>
          <w:lang w:val="fr-CA"/>
        </w:rPr>
        <w:t>en tout temps</w:t>
      </w:r>
      <w:r w:rsidRPr="00ED67BB">
        <w:rPr>
          <w:lang w:val="fr-CA"/>
        </w:rPr>
        <w:t>, sous réserve des restrictions légales ou contractuelles et d</w:t>
      </w:r>
      <w:r>
        <w:rPr>
          <w:lang w:val="fr-CA"/>
        </w:rPr>
        <w:t>’</w:t>
      </w:r>
      <w:r w:rsidRPr="00ED67BB">
        <w:rPr>
          <w:lang w:val="fr-CA"/>
        </w:rPr>
        <w:t>un préavis raisonnable</w:t>
      </w:r>
      <w:r w:rsidR="00BA1761" w:rsidRPr="00ED67BB">
        <w:rPr>
          <w:lang w:val="fr-CA"/>
        </w:rPr>
        <w:t>.</w:t>
      </w:r>
    </w:p>
    <w:p w14:paraId="7ECAC108" w14:textId="339A3638" w:rsidR="00BA1761" w:rsidRPr="00ED67BB" w:rsidRDefault="00ED67BB" w:rsidP="00BA1761">
      <w:pPr>
        <w:rPr>
          <w:lang w:val="fr-CA"/>
        </w:rPr>
      </w:pPr>
      <w:r w:rsidRPr="00ED67BB">
        <w:rPr>
          <w:lang w:val="fr-CA"/>
        </w:rPr>
        <w:t xml:space="preserve">Si un </w:t>
      </w:r>
      <w:r w:rsidR="00861866">
        <w:rPr>
          <w:lang w:val="fr-CA"/>
        </w:rPr>
        <w:t>utilisateur</w:t>
      </w:r>
      <w:r w:rsidR="00861866" w:rsidRPr="00ED67BB">
        <w:rPr>
          <w:lang w:val="fr-CA"/>
        </w:rPr>
        <w:t xml:space="preserve"> </w:t>
      </w:r>
      <w:r w:rsidRPr="00ED67BB">
        <w:rPr>
          <w:lang w:val="fr-CA"/>
        </w:rPr>
        <w:t>souhaite consulter ou mettre à jour les d</w:t>
      </w:r>
      <w:r>
        <w:rPr>
          <w:lang w:val="fr-CA"/>
        </w:rPr>
        <w:t>onnées</w:t>
      </w:r>
      <w:r w:rsidRPr="00ED67BB">
        <w:rPr>
          <w:lang w:val="fr-CA"/>
        </w:rPr>
        <w:t xml:space="preserve"> personnelles </w:t>
      </w:r>
      <w:r>
        <w:rPr>
          <w:lang w:val="fr-CA"/>
        </w:rPr>
        <w:t>conservées par le</w:t>
      </w:r>
      <w:r w:rsidRPr="00ED67BB">
        <w:rPr>
          <w:lang w:val="fr-CA"/>
        </w:rPr>
        <w:t xml:space="preserve"> CAÉB, ou retirer son consentement à leur collecte,</w:t>
      </w:r>
      <w:r>
        <w:rPr>
          <w:lang w:val="fr-CA"/>
        </w:rPr>
        <w:t xml:space="preserve"> à</w:t>
      </w:r>
      <w:r w:rsidRPr="00ED67BB">
        <w:rPr>
          <w:lang w:val="fr-CA"/>
        </w:rPr>
        <w:t xml:space="preserve"> leur utilisation ou </w:t>
      </w:r>
      <w:r>
        <w:rPr>
          <w:lang w:val="fr-CA"/>
        </w:rPr>
        <w:t>à</w:t>
      </w:r>
      <w:r w:rsidR="00A8744F">
        <w:rPr>
          <w:lang w:val="fr-CA"/>
        </w:rPr>
        <w:t xml:space="preserve"> </w:t>
      </w:r>
      <w:r w:rsidRPr="00ED67BB">
        <w:rPr>
          <w:lang w:val="fr-CA"/>
        </w:rPr>
        <w:t>leur divulgation, ou s</w:t>
      </w:r>
      <w:r>
        <w:rPr>
          <w:lang w:val="fr-CA"/>
        </w:rPr>
        <w:t>’</w:t>
      </w:r>
      <w:r w:rsidRPr="00ED67BB">
        <w:rPr>
          <w:lang w:val="fr-CA"/>
        </w:rPr>
        <w:t xml:space="preserve">il </w:t>
      </w:r>
      <w:r>
        <w:rPr>
          <w:lang w:val="fr-CA"/>
        </w:rPr>
        <w:t>souhaite soumettre</w:t>
      </w:r>
      <w:r w:rsidRPr="00ED67BB">
        <w:rPr>
          <w:lang w:val="fr-CA"/>
        </w:rPr>
        <w:t xml:space="preserve"> des questions ou des commentaires concernant la présente politique, il </w:t>
      </w:r>
      <w:r>
        <w:rPr>
          <w:lang w:val="fr-CA"/>
        </w:rPr>
        <w:t>doit prendre</w:t>
      </w:r>
      <w:r w:rsidRPr="00ED67BB">
        <w:rPr>
          <w:lang w:val="fr-CA"/>
        </w:rPr>
        <w:t xml:space="preserve"> contact</w:t>
      </w:r>
      <w:r>
        <w:rPr>
          <w:lang w:val="fr-CA"/>
        </w:rPr>
        <w:t xml:space="preserve"> avec</w:t>
      </w:r>
      <w:r w:rsidRPr="00ED67BB">
        <w:rPr>
          <w:lang w:val="fr-CA"/>
        </w:rPr>
        <w:t xml:space="preserve"> l</w:t>
      </w:r>
      <w:r>
        <w:rPr>
          <w:lang w:val="fr-CA"/>
        </w:rPr>
        <w:t>a personne</w:t>
      </w:r>
      <w:r w:rsidRPr="00ED67BB">
        <w:rPr>
          <w:lang w:val="fr-CA"/>
        </w:rPr>
        <w:t xml:space="preserve"> responsable de la protection de la vie privée d</w:t>
      </w:r>
      <w:r>
        <w:rPr>
          <w:lang w:val="fr-CA"/>
        </w:rPr>
        <w:t>u</w:t>
      </w:r>
      <w:r w:rsidRPr="00ED67BB">
        <w:rPr>
          <w:lang w:val="fr-CA"/>
        </w:rPr>
        <w:t xml:space="preserve"> CAÉB par</w:t>
      </w:r>
      <w:r>
        <w:rPr>
          <w:lang w:val="fr-CA"/>
        </w:rPr>
        <w:t xml:space="preserve"> courriel</w:t>
      </w:r>
      <w:r w:rsidRPr="00ED67BB">
        <w:rPr>
          <w:lang w:val="fr-CA"/>
        </w:rPr>
        <w:t xml:space="preserve"> à l</w:t>
      </w:r>
      <w:r>
        <w:rPr>
          <w:lang w:val="fr-CA"/>
        </w:rPr>
        <w:t>’</w:t>
      </w:r>
      <w:r w:rsidRPr="00ED67BB">
        <w:rPr>
          <w:lang w:val="fr-CA"/>
        </w:rPr>
        <w:t>adresse</w:t>
      </w:r>
      <w:r>
        <w:rPr>
          <w:lang w:val="fr-CA"/>
        </w:rPr>
        <w:t xml:space="preserve"> </w:t>
      </w:r>
      <w:r w:rsidRPr="00ED67BB">
        <w:rPr>
          <w:b/>
          <w:bCs/>
          <w:lang w:val="fr-CA"/>
        </w:rPr>
        <w:t>confidentialite@bibliocaeb.ca</w:t>
      </w:r>
      <w:r w:rsidRPr="00ED67BB">
        <w:rPr>
          <w:lang w:val="fr-CA"/>
        </w:rPr>
        <w:t>.</w:t>
      </w:r>
    </w:p>
    <w:p w14:paraId="45E8173D" w14:textId="091F7366" w:rsidR="00C63CD8" w:rsidRPr="00ED67BB" w:rsidRDefault="00ED67BB" w:rsidP="00372572">
      <w:pPr>
        <w:pStyle w:val="Heading1"/>
        <w:rPr>
          <w:lang w:val="fr-CA"/>
        </w:rPr>
      </w:pPr>
      <w:r w:rsidRPr="00ED67BB">
        <w:rPr>
          <w:lang w:val="fr-CA"/>
        </w:rPr>
        <w:t>Mises à jour de la présente politique</w:t>
      </w:r>
    </w:p>
    <w:p w14:paraId="6E984A9A" w14:textId="1541B799" w:rsidR="00BA1761" w:rsidRPr="00B122AF" w:rsidRDefault="00811F8C">
      <w:pPr>
        <w:rPr>
          <w:lang w:val="fr-CA"/>
        </w:rPr>
      </w:pPr>
      <w:r w:rsidRPr="00ED67BB">
        <w:rPr>
          <w:lang w:val="fr-CA"/>
        </w:rPr>
        <w:t xml:space="preserve">Le </w:t>
      </w:r>
      <w:r w:rsidR="00FF2186" w:rsidRPr="00ED67BB">
        <w:rPr>
          <w:lang w:val="fr-CA"/>
        </w:rPr>
        <w:t>CAÉB</w:t>
      </w:r>
      <w:r w:rsidR="00ED67BB" w:rsidRPr="00ED67BB">
        <w:rPr>
          <w:lang w:val="fr-CA"/>
        </w:rPr>
        <w:t xml:space="preserve"> </w:t>
      </w:r>
      <w:r w:rsidR="00B122AF" w:rsidRPr="00FA1F39">
        <w:rPr>
          <w:lang w:val="fr-CA"/>
        </w:rPr>
        <w:t>peut</w:t>
      </w:r>
      <w:r w:rsidR="00B122AF">
        <w:rPr>
          <w:lang w:val="fr-CA"/>
        </w:rPr>
        <w:t>, à tout moment,</w:t>
      </w:r>
      <w:r w:rsidR="00B122AF" w:rsidRPr="00FA1F39">
        <w:rPr>
          <w:lang w:val="fr-CA"/>
        </w:rPr>
        <w:t xml:space="preserve"> mettre à jour la présente politiqu</w:t>
      </w:r>
      <w:r w:rsidR="00B122AF">
        <w:rPr>
          <w:lang w:val="fr-CA"/>
        </w:rPr>
        <w:t>e</w:t>
      </w:r>
      <w:r w:rsidR="00ED67BB" w:rsidRPr="00ED67BB">
        <w:rPr>
          <w:lang w:val="fr-CA"/>
        </w:rPr>
        <w:t xml:space="preserve">. La version révisée sera publiée sur notre site </w:t>
      </w:r>
      <w:r w:rsidR="00ED67BB">
        <w:rPr>
          <w:lang w:val="fr-CA"/>
        </w:rPr>
        <w:t>W</w:t>
      </w:r>
      <w:r w:rsidR="00ED67BB" w:rsidRPr="00ED67BB">
        <w:rPr>
          <w:lang w:val="fr-CA"/>
        </w:rPr>
        <w:t>eb avec la nouvelle date d</w:t>
      </w:r>
      <w:r w:rsidR="00ED67BB">
        <w:rPr>
          <w:lang w:val="fr-CA"/>
        </w:rPr>
        <w:t>’</w:t>
      </w:r>
      <w:r w:rsidR="00ED67BB" w:rsidRPr="00ED67BB">
        <w:rPr>
          <w:lang w:val="fr-CA"/>
        </w:rPr>
        <w:t xml:space="preserve">entrée en vigueur. </w:t>
      </w:r>
      <w:bookmarkStart w:id="0" w:name="_Hlk226634351"/>
      <w:r w:rsidR="00ED67BB" w:rsidRPr="00ED67BB">
        <w:rPr>
          <w:lang w:val="fr-CA"/>
        </w:rPr>
        <w:t xml:space="preserve">Nous informerons par </w:t>
      </w:r>
      <w:r w:rsidR="00ED67BB">
        <w:rPr>
          <w:lang w:val="fr-CA"/>
        </w:rPr>
        <w:t xml:space="preserve">courriel </w:t>
      </w:r>
      <w:r w:rsidR="00861866">
        <w:rPr>
          <w:lang w:val="fr-CA"/>
        </w:rPr>
        <w:t>les</w:t>
      </w:r>
      <w:r w:rsidR="00ED67BB">
        <w:rPr>
          <w:lang w:val="fr-CA"/>
        </w:rPr>
        <w:t xml:space="preserve"> </w:t>
      </w:r>
      <w:r w:rsidR="00861866">
        <w:rPr>
          <w:lang w:val="fr-CA"/>
        </w:rPr>
        <w:t>utilisateurs</w:t>
      </w:r>
      <w:r w:rsidR="00861866" w:rsidRPr="00ED67BB">
        <w:rPr>
          <w:lang w:val="fr-CA"/>
        </w:rPr>
        <w:t xml:space="preserve"> </w:t>
      </w:r>
      <w:r w:rsidR="00ED67BB" w:rsidRPr="00ED67BB">
        <w:rPr>
          <w:lang w:val="fr-CA"/>
        </w:rPr>
        <w:t>inscrits sur notre liste de diffusion de la mise à jour de la politique. Le fait de rester en contact avec le CAÉB, de naviguer, d</w:t>
      </w:r>
      <w:r w:rsidR="00E70ED0">
        <w:rPr>
          <w:lang w:val="fr-CA"/>
        </w:rPr>
        <w:t>e consulter</w:t>
      </w:r>
      <w:r w:rsidR="00ED67BB" w:rsidRPr="00ED67BB">
        <w:rPr>
          <w:lang w:val="fr-CA"/>
        </w:rPr>
        <w:t xml:space="preserve"> les sites celalibrary.ca ou bibliocaeb.ca, ou d</w:t>
      </w:r>
      <w:r w:rsidR="00E70ED0">
        <w:rPr>
          <w:lang w:val="fr-CA"/>
        </w:rPr>
        <w:t>’</w:t>
      </w:r>
      <w:r w:rsidR="00ED67BB" w:rsidRPr="00ED67BB">
        <w:rPr>
          <w:lang w:val="fr-CA"/>
        </w:rPr>
        <w:t>utiliser les services du CAÉB après la mise à jour de la présente politique vaut acceptation de la politique révisée</w:t>
      </w:r>
      <w:r w:rsidR="00C63CD8" w:rsidRPr="00B122AF">
        <w:rPr>
          <w:lang w:val="fr-CA"/>
        </w:rPr>
        <w:t>.</w:t>
      </w:r>
      <w:bookmarkEnd w:id="0"/>
    </w:p>
    <w:sectPr w:rsidR="00BA1761" w:rsidRPr="00B12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6B4C" w14:textId="77777777" w:rsidR="00C02862" w:rsidRDefault="00C02862" w:rsidP="00D52BCE">
      <w:pPr>
        <w:spacing w:after="0" w:line="240" w:lineRule="auto"/>
      </w:pPr>
      <w:r>
        <w:separator/>
      </w:r>
    </w:p>
  </w:endnote>
  <w:endnote w:type="continuationSeparator" w:id="0">
    <w:p w14:paraId="19755D9B" w14:textId="77777777" w:rsidR="00C02862" w:rsidRDefault="00C02862" w:rsidP="00D5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6364" w14:textId="77777777" w:rsidR="00D52BCE" w:rsidRDefault="00D52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B0EA" w14:textId="77777777" w:rsidR="00D52BCE" w:rsidRDefault="00D52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19FC" w14:textId="77777777" w:rsidR="00D52BCE" w:rsidRDefault="00D52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AB0C" w14:textId="77777777" w:rsidR="00C02862" w:rsidRDefault="00C02862" w:rsidP="00D52BCE">
      <w:pPr>
        <w:spacing w:after="0" w:line="240" w:lineRule="auto"/>
      </w:pPr>
      <w:r>
        <w:separator/>
      </w:r>
    </w:p>
  </w:footnote>
  <w:footnote w:type="continuationSeparator" w:id="0">
    <w:p w14:paraId="3FB9213C" w14:textId="77777777" w:rsidR="00C02862" w:rsidRDefault="00C02862" w:rsidP="00D5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A03" w14:textId="77777777" w:rsidR="00D52BCE" w:rsidRDefault="00D52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CE2A" w14:textId="77777777" w:rsidR="00D52BCE" w:rsidRDefault="00D52B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2707" w14:textId="77777777" w:rsidR="00D52BCE" w:rsidRDefault="00D52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058"/>
    <w:multiLevelType w:val="multilevel"/>
    <w:tmpl w:val="481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B4B1C"/>
    <w:multiLevelType w:val="multilevel"/>
    <w:tmpl w:val="6BE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20CD"/>
    <w:multiLevelType w:val="multilevel"/>
    <w:tmpl w:val="235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1D06"/>
    <w:multiLevelType w:val="multilevel"/>
    <w:tmpl w:val="AF68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A1507"/>
    <w:multiLevelType w:val="multilevel"/>
    <w:tmpl w:val="A9F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029CA"/>
    <w:multiLevelType w:val="multilevel"/>
    <w:tmpl w:val="95C2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702"/>
    <w:multiLevelType w:val="multilevel"/>
    <w:tmpl w:val="6E08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7595B"/>
    <w:multiLevelType w:val="multilevel"/>
    <w:tmpl w:val="763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E1250"/>
    <w:multiLevelType w:val="multilevel"/>
    <w:tmpl w:val="8AC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123C7"/>
    <w:multiLevelType w:val="multilevel"/>
    <w:tmpl w:val="7314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350C8"/>
    <w:multiLevelType w:val="multilevel"/>
    <w:tmpl w:val="A470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B1110"/>
    <w:multiLevelType w:val="multilevel"/>
    <w:tmpl w:val="A912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B5483"/>
    <w:multiLevelType w:val="multilevel"/>
    <w:tmpl w:val="0048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F220B"/>
    <w:multiLevelType w:val="multilevel"/>
    <w:tmpl w:val="55C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91D75"/>
    <w:multiLevelType w:val="multilevel"/>
    <w:tmpl w:val="B2E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759DD"/>
    <w:multiLevelType w:val="multilevel"/>
    <w:tmpl w:val="8DDE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7602A"/>
    <w:multiLevelType w:val="multilevel"/>
    <w:tmpl w:val="F740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54F23"/>
    <w:multiLevelType w:val="hybridMultilevel"/>
    <w:tmpl w:val="7D3AB4D4"/>
    <w:lvl w:ilvl="0" w:tplc="C2A24F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8DB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209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E16E3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60C4B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144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AA0B8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FA857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60F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69B17227"/>
    <w:multiLevelType w:val="multilevel"/>
    <w:tmpl w:val="3CF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12D4D"/>
    <w:multiLevelType w:val="multilevel"/>
    <w:tmpl w:val="4F4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445AE"/>
    <w:multiLevelType w:val="hybridMultilevel"/>
    <w:tmpl w:val="E6D064B8"/>
    <w:lvl w:ilvl="0" w:tplc="50343728">
      <w:start w:val="1"/>
      <w:numFmt w:val="decimal"/>
      <w:lvlText w:val="%1."/>
      <w:lvlJc w:val="left"/>
      <w:pPr>
        <w:ind w:left="1020" w:hanging="360"/>
      </w:pPr>
    </w:lvl>
    <w:lvl w:ilvl="1" w:tplc="7C46E7EE">
      <w:start w:val="1"/>
      <w:numFmt w:val="decimal"/>
      <w:lvlText w:val="%2."/>
      <w:lvlJc w:val="left"/>
      <w:pPr>
        <w:ind w:left="1020" w:hanging="360"/>
      </w:pPr>
    </w:lvl>
    <w:lvl w:ilvl="2" w:tplc="13AC1CA8">
      <w:start w:val="1"/>
      <w:numFmt w:val="decimal"/>
      <w:lvlText w:val="%3."/>
      <w:lvlJc w:val="left"/>
      <w:pPr>
        <w:ind w:left="1020" w:hanging="360"/>
      </w:pPr>
    </w:lvl>
    <w:lvl w:ilvl="3" w:tplc="AD3EA962">
      <w:start w:val="1"/>
      <w:numFmt w:val="decimal"/>
      <w:lvlText w:val="%4."/>
      <w:lvlJc w:val="left"/>
      <w:pPr>
        <w:ind w:left="1020" w:hanging="360"/>
      </w:pPr>
    </w:lvl>
    <w:lvl w:ilvl="4" w:tplc="942ABA46">
      <w:start w:val="1"/>
      <w:numFmt w:val="decimal"/>
      <w:lvlText w:val="%5."/>
      <w:lvlJc w:val="left"/>
      <w:pPr>
        <w:ind w:left="1020" w:hanging="360"/>
      </w:pPr>
    </w:lvl>
    <w:lvl w:ilvl="5" w:tplc="AB16DF1A">
      <w:start w:val="1"/>
      <w:numFmt w:val="decimal"/>
      <w:lvlText w:val="%6."/>
      <w:lvlJc w:val="left"/>
      <w:pPr>
        <w:ind w:left="1020" w:hanging="360"/>
      </w:pPr>
    </w:lvl>
    <w:lvl w:ilvl="6" w:tplc="9B92CBD2">
      <w:start w:val="1"/>
      <w:numFmt w:val="decimal"/>
      <w:lvlText w:val="%7."/>
      <w:lvlJc w:val="left"/>
      <w:pPr>
        <w:ind w:left="1020" w:hanging="360"/>
      </w:pPr>
    </w:lvl>
    <w:lvl w:ilvl="7" w:tplc="E7EE40B8">
      <w:start w:val="1"/>
      <w:numFmt w:val="decimal"/>
      <w:lvlText w:val="%8."/>
      <w:lvlJc w:val="left"/>
      <w:pPr>
        <w:ind w:left="1020" w:hanging="360"/>
      </w:pPr>
    </w:lvl>
    <w:lvl w:ilvl="8" w:tplc="4B5EA592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73F7221"/>
    <w:multiLevelType w:val="multilevel"/>
    <w:tmpl w:val="390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F4BA4"/>
    <w:multiLevelType w:val="multilevel"/>
    <w:tmpl w:val="5364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2176">
    <w:abstractNumId w:val="9"/>
  </w:num>
  <w:num w:numId="2" w16cid:durableId="1388871658">
    <w:abstractNumId w:val="14"/>
  </w:num>
  <w:num w:numId="3" w16cid:durableId="2030644772">
    <w:abstractNumId w:val="5"/>
  </w:num>
  <w:num w:numId="4" w16cid:durableId="450125929">
    <w:abstractNumId w:val="15"/>
  </w:num>
  <w:num w:numId="5" w16cid:durableId="798838783">
    <w:abstractNumId w:val="3"/>
  </w:num>
  <w:num w:numId="6" w16cid:durableId="840655905">
    <w:abstractNumId w:val="16"/>
  </w:num>
  <w:num w:numId="7" w16cid:durableId="942568732">
    <w:abstractNumId w:val="20"/>
  </w:num>
  <w:num w:numId="8" w16cid:durableId="1721319295">
    <w:abstractNumId w:val="17"/>
  </w:num>
  <w:num w:numId="9" w16cid:durableId="657732238">
    <w:abstractNumId w:val="10"/>
  </w:num>
  <w:num w:numId="10" w16cid:durableId="1318998387">
    <w:abstractNumId w:val="21"/>
  </w:num>
  <w:num w:numId="11" w16cid:durableId="371273418">
    <w:abstractNumId w:val="13"/>
  </w:num>
  <w:num w:numId="12" w16cid:durableId="2003897988">
    <w:abstractNumId w:val="6"/>
  </w:num>
  <w:num w:numId="13" w16cid:durableId="1275022002">
    <w:abstractNumId w:val="1"/>
  </w:num>
  <w:num w:numId="14" w16cid:durableId="1978608172">
    <w:abstractNumId w:val="22"/>
  </w:num>
  <w:num w:numId="15" w16cid:durableId="1537815623">
    <w:abstractNumId w:val="2"/>
  </w:num>
  <w:num w:numId="16" w16cid:durableId="982344474">
    <w:abstractNumId w:val="8"/>
  </w:num>
  <w:num w:numId="17" w16cid:durableId="336537180">
    <w:abstractNumId w:val="19"/>
  </w:num>
  <w:num w:numId="18" w16cid:durableId="794256020">
    <w:abstractNumId w:val="7"/>
  </w:num>
  <w:num w:numId="19" w16cid:durableId="1813667428">
    <w:abstractNumId w:val="11"/>
  </w:num>
  <w:num w:numId="20" w16cid:durableId="1661351136">
    <w:abstractNumId w:val="12"/>
  </w:num>
  <w:num w:numId="21" w16cid:durableId="939490254">
    <w:abstractNumId w:val="0"/>
  </w:num>
  <w:num w:numId="22" w16cid:durableId="1581134264">
    <w:abstractNumId w:val="4"/>
  </w:num>
  <w:num w:numId="23" w16cid:durableId="880551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61"/>
    <w:rsid w:val="00000E57"/>
    <w:rsid w:val="000171CB"/>
    <w:rsid w:val="00052161"/>
    <w:rsid w:val="0006132A"/>
    <w:rsid w:val="000719E2"/>
    <w:rsid w:val="00083CA4"/>
    <w:rsid w:val="000C01FD"/>
    <w:rsid w:val="000C54A0"/>
    <w:rsid w:val="000C7745"/>
    <w:rsid w:val="000D62DD"/>
    <w:rsid w:val="000D6A38"/>
    <w:rsid w:val="000E392C"/>
    <w:rsid w:val="000F0A2B"/>
    <w:rsid w:val="0013068A"/>
    <w:rsid w:val="001354AF"/>
    <w:rsid w:val="00137D97"/>
    <w:rsid w:val="00145B5C"/>
    <w:rsid w:val="0016407B"/>
    <w:rsid w:val="00164170"/>
    <w:rsid w:val="001B065F"/>
    <w:rsid w:val="001B6573"/>
    <w:rsid w:val="001B7370"/>
    <w:rsid w:val="001D2E8B"/>
    <w:rsid w:val="001E4702"/>
    <w:rsid w:val="001F1961"/>
    <w:rsid w:val="00207A18"/>
    <w:rsid w:val="00217C49"/>
    <w:rsid w:val="002406E3"/>
    <w:rsid w:val="00251822"/>
    <w:rsid w:val="0026170C"/>
    <w:rsid w:val="00262568"/>
    <w:rsid w:val="002B11C5"/>
    <w:rsid w:val="002C4F0F"/>
    <w:rsid w:val="002D608C"/>
    <w:rsid w:val="00312952"/>
    <w:rsid w:val="00316021"/>
    <w:rsid w:val="00321236"/>
    <w:rsid w:val="003518B0"/>
    <w:rsid w:val="003538E4"/>
    <w:rsid w:val="00367A35"/>
    <w:rsid w:val="00372572"/>
    <w:rsid w:val="00390E05"/>
    <w:rsid w:val="003C3685"/>
    <w:rsid w:val="003C572B"/>
    <w:rsid w:val="003E28C9"/>
    <w:rsid w:val="00407D22"/>
    <w:rsid w:val="00415C7E"/>
    <w:rsid w:val="0042322D"/>
    <w:rsid w:val="0043036F"/>
    <w:rsid w:val="00490266"/>
    <w:rsid w:val="00495BE3"/>
    <w:rsid w:val="00497193"/>
    <w:rsid w:val="004E5B9A"/>
    <w:rsid w:val="004E76DF"/>
    <w:rsid w:val="004F7070"/>
    <w:rsid w:val="005474A1"/>
    <w:rsid w:val="0056764A"/>
    <w:rsid w:val="00580D9D"/>
    <w:rsid w:val="0058140B"/>
    <w:rsid w:val="00594308"/>
    <w:rsid w:val="005B02BE"/>
    <w:rsid w:val="005B24E9"/>
    <w:rsid w:val="005E2E98"/>
    <w:rsid w:val="0060167C"/>
    <w:rsid w:val="00603946"/>
    <w:rsid w:val="00633BEC"/>
    <w:rsid w:val="00646DE4"/>
    <w:rsid w:val="0066151E"/>
    <w:rsid w:val="00684510"/>
    <w:rsid w:val="0069772E"/>
    <w:rsid w:val="006C6F09"/>
    <w:rsid w:val="006D099C"/>
    <w:rsid w:val="006D5F5B"/>
    <w:rsid w:val="00707592"/>
    <w:rsid w:val="00716A68"/>
    <w:rsid w:val="00724B8E"/>
    <w:rsid w:val="00725896"/>
    <w:rsid w:val="00736310"/>
    <w:rsid w:val="007705B2"/>
    <w:rsid w:val="0079087F"/>
    <w:rsid w:val="007A504E"/>
    <w:rsid w:val="007E235F"/>
    <w:rsid w:val="007E313F"/>
    <w:rsid w:val="007E43BB"/>
    <w:rsid w:val="007F41B0"/>
    <w:rsid w:val="00811F8C"/>
    <w:rsid w:val="00824F23"/>
    <w:rsid w:val="008477B2"/>
    <w:rsid w:val="008530B5"/>
    <w:rsid w:val="00861866"/>
    <w:rsid w:val="00877073"/>
    <w:rsid w:val="008800E4"/>
    <w:rsid w:val="00881EAD"/>
    <w:rsid w:val="00884A67"/>
    <w:rsid w:val="008B2395"/>
    <w:rsid w:val="008B2FC8"/>
    <w:rsid w:val="008C0BEE"/>
    <w:rsid w:val="008C1340"/>
    <w:rsid w:val="008E00F4"/>
    <w:rsid w:val="0091535E"/>
    <w:rsid w:val="00921131"/>
    <w:rsid w:val="00956F8E"/>
    <w:rsid w:val="00963771"/>
    <w:rsid w:val="009810EB"/>
    <w:rsid w:val="0098416D"/>
    <w:rsid w:val="009A05A0"/>
    <w:rsid w:val="009B08B8"/>
    <w:rsid w:val="009D15BD"/>
    <w:rsid w:val="009F733C"/>
    <w:rsid w:val="00A1054D"/>
    <w:rsid w:val="00A13454"/>
    <w:rsid w:val="00A3684E"/>
    <w:rsid w:val="00A43E0E"/>
    <w:rsid w:val="00A52E42"/>
    <w:rsid w:val="00A65F09"/>
    <w:rsid w:val="00A8744F"/>
    <w:rsid w:val="00AA5BF3"/>
    <w:rsid w:val="00AB2F30"/>
    <w:rsid w:val="00AB6EF7"/>
    <w:rsid w:val="00AC0436"/>
    <w:rsid w:val="00AC0F4E"/>
    <w:rsid w:val="00AC3BAC"/>
    <w:rsid w:val="00AD6A00"/>
    <w:rsid w:val="00AE3A49"/>
    <w:rsid w:val="00AE3CD2"/>
    <w:rsid w:val="00AF354F"/>
    <w:rsid w:val="00AF588D"/>
    <w:rsid w:val="00B02AC0"/>
    <w:rsid w:val="00B1004D"/>
    <w:rsid w:val="00B10491"/>
    <w:rsid w:val="00B122AF"/>
    <w:rsid w:val="00B47E80"/>
    <w:rsid w:val="00BA1761"/>
    <w:rsid w:val="00BE5446"/>
    <w:rsid w:val="00C02862"/>
    <w:rsid w:val="00C36EF3"/>
    <w:rsid w:val="00C4216F"/>
    <w:rsid w:val="00C43745"/>
    <w:rsid w:val="00C515BC"/>
    <w:rsid w:val="00C60E19"/>
    <w:rsid w:val="00C63CD8"/>
    <w:rsid w:val="00C71E5C"/>
    <w:rsid w:val="00CB44BC"/>
    <w:rsid w:val="00CD199F"/>
    <w:rsid w:val="00CD5C89"/>
    <w:rsid w:val="00CE7D2D"/>
    <w:rsid w:val="00CF0DD7"/>
    <w:rsid w:val="00CF688C"/>
    <w:rsid w:val="00D00594"/>
    <w:rsid w:val="00D32F01"/>
    <w:rsid w:val="00D42E0C"/>
    <w:rsid w:val="00D438EA"/>
    <w:rsid w:val="00D51C44"/>
    <w:rsid w:val="00D52BCE"/>
    <w:rsid w:val="00D61C8B"/>
    <w:rsid w:val="00D662B4"/>
    <w:rsid w:val="00D7134E"/>
    <w:rsid w:val="00D73A77"/>
    <w:rsid w:val="00D836F8"/>
    <w:rsid w:val="00DD2045"/>
    <w:rsid w:val="00DD5C5E"/>
    <w:rsid w:val="00DE7314"/>
    <w:rsid w:val="00DF6217"/>
    <w:rsid w:val="00E0081B"/>
    <w:rsid w:val="00E0598D"/>
    <w:rsid w:val="00E6026A"/>
    <w:rsid w:val="00E63D9A"/>
    <w:rsid w:val="00E70ED0"/>
    <w:rsid w:val="00E808A4"/>
    <w:rsid w:val="00EC4715"/>
    <w:rsid w:val="00EC675D"/>
    <w:rsid w:val="00ED67BB"/>
    <w:rsid w:val="00EE22A2"/>
    <w:rsid w:val="00EE4E4E"/>
    <w:rsid w:val="00EE695B"/>
    <w:rsid w:val="00EF0A01"/>
    <w:rsid w:val="00EF47DA"/>
    <w:rsid w:val="00F151F5"/>
    <w:rsid w:val="00F15EC0"/>
    <w:rsid w:val="00F35574"/>
    <w:rsid w:val="00F40107"/>
    <w:rsid w:val="00F71946"/>
    <w:rsid w:val="00F72ABC"/>
    <w:rsid w:val="00F810FA"/>
    <w:rsid w:val="00F9553F"/>
    <w:rsid w:val="00F96D55"/>
    <w:rsid w:val="00FA369C"/>
    <w:rsid w:val="00FA3913"/>
    <w:rsid w:val="00FA6D5D"/>
    <w:rsid w:val="00FA7387"/>
    <w:rsid w:val="00FD255B"/>
    <w:rsid w:val="00FD7711"/>
    <w:rsid w:val="00FF2186"/>
    <w:rsid w:val="06B03205"/>
    <w:rsid w:val="0D771A95"/>
    <w:rsid w:val="1254955D"/>
    <w:rsid w:val="13B843D3"/>
    <w:rsid w:val="163E7296"/>
    <w:rsid w:val="19202A55"/>
    <w:rsid w:val="1BD40379"/>
    <w:rsid w:val="23C08BAE"/>
    <w:rsid w:val="2A35ADDF"/>
    <w:rsid w:val="3678DC5E"/>
    <w:rsid w:val="46059D58"/>
    <w:rsid w:val="49639B7B"/>
    <w:rsid w:val="4D9D8BEA"/>
    <w:rsid w:val="4E1C28A1"/>
    <w:rsid w:val="51104676"/>
    <w:rsid w:val="58FF1E80"/>
    <w:rsid w:val="5E38AD4F"/>
    <w:rsid w:val="655BC4B1"/>
    <w:rsid w:val="6CE0B978"/>
    <w:rsid w:val="6CEF0DFC"/>
    <w:rsid w:val="749452B4"/>
    <w:rsid w:val="7FC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C9A9"/>
  <w15:chartTrackingRefBased/>
  <w15:docId w15:val="{2D94D227-2AEF-49AF-9331-0D9065E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DA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D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7DA"/>
    <w:rPr>
      <w:rFonts w:ascii="Verdana" w:eastAsiaTheme="majorEastAsia" w:hAnsi="Verdana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7D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7DA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80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9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5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5F0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2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BCE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D52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BCE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4f94807165026ee1f881611ea8f4d3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5064b1cd68c03adac97816ad39ac828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1B589-A96E-4CDE-A315-7DB6395097E9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A90F86-E27E-4EB4-A593-5F47A8521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49519-A57F-4069-9CB0-47D6871B1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Davidson</dc:creator>
  <cp:keywords/>
  <dc:description/>
  <cp:lastModifiedBy>Karen M</cp:lastModifiedBy>
  <cp:revision>2</cp:revision>
  <dcterms:created xsi:type="dcterms:W3CDTF">2026-05-28T20:00:00Z</dcterms:created>
  <dcterms:modified xsi:type="dcterms:W3CDTF">2026-05-28T20:00:00Z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