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6800" w14:textId="57E7F3A8" w:rsidR="00E85753" w:rsidRPr="00DC583B" w:rsidRDefault="00CA7DCD" w:rsidP="006C73BA">
      <w:pPr>
        <w:pStyle w:val="Title"/>
        <w:rPr>
          <w:rFonts w:ascii="Verdana" w:hAnsi="Verdana"/>
        </w:rPr>
      </w:pPr>
      <w:r>
        <w:rPr>
          <w:rFonts w:ascii="Verdana" w:hAnsi="Verdana"/>
          <w:noProof/>
          <w:color w:val="000000"/>
          <w:shd w:val="clear" w:color="auto" w:fill="FFFFFF"/>
        </w:rPr>
        <w:drawing>
          <wp:inline distT="0" distB="0" distL="0" distR="0" wp14:anchorId="2E43BE76" wp14:editId="08F4D03F">
            <wp:extent cx="1933575" cy="1777380"/>
            <wp:effectExtent l="0" t="0" r="0" b="0"/>
            <wp:docPr id="2" name="Picture 2" descr="Logo du CAÉ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du CAÉB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633" cy="178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FBFB4" w14:textId="5104C2BA" w:rsidR="00F81527" w:rsidRPr="00F81527" w:rsidRDefault="00F81527" w:rsidP="00F81527">
      <w:pPr>
        <w:rPr>
          <w:rFonts w:ascii="Verdana" w:hAnsi="Verdana"/>
          <w:b/>
          <w:bCs/>
          <w:sz w:val="24"/>
          <w:szCs w:val="24"/>
        </w:rPr>
      </w:pPr>
      <w:r w:rsidRPr="00F81527">
        <w:rPr>
          <w:rFonts w:ascii="Verdana" w:hAnsi="Verdana"/>
          <w:b/>
          <w:bCs/>
          <w:sz w:val="24"/>
          <w:szCs w:val="24"/>
        </w:rPr>
        <w:t xml:space="preserve">Remarque : </w:t>
      </w:r>
      <w:r>
        <w:rPr>
          <w:rFonts w:ascii="Verdana" w:hAnsi="Verdana"/>
          <w:b/>
          <w:bCs/>
          <w:sz w:val="24"/>
          <w:szCs w:val="24"/>
        </w:rPr>
        <w:t>L</w:t>
      </w:r>
      <w:r w:rsidRPr="00F81527">
        <w:rPr>
          <w:rFonts w:ascii="Verdana" w:hAnsi="Verdana"/>
          <w:b/>
          <w:bCs/>
          <w:sz w:val="24"/>
          <w:szCs w:val="24"/>
        </w:rPr>
        <w:t xml:space="preserve">e conseil d'administration </w:t>
      </w:r>
      <w:r>
        <w:rPr>
          <w:rFonts w:ascii="Verdana" w:hAnsi="Verdana"/>
          <w:b/>
          <w:bCs/>
          <w:sz w:val="24"/>
          <w:szCs w:val="24"/>
        </w:rPr>
        <w:t>du CA</w:t>
      </w:r>
      <w:r w:rsidRPr="00F81527">
        <w:rPr>
          <w:rFonts w:ascii="Verdana" w:hAnsi="Verdana"/>
          <w:b/>
          <w:bCs/>
          <w:sz w:val="24"/>
          <w:szCs w:val="24"/>
          <w:lang w:val="fr-FR"/>
        </w:rPr>
        <w:t>É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B </w:t>
      </w:r>
      <w:r w:rsidRPr="00F81527">
        <w:rPr>
          <w:rFonts w:ascii="Verdana" w:hAnsi="Verdana"/>
          <w:b/>
          <w:bCs/>
          <w:sz w:val="24"/>
          <w:szCs w:val="24"/>
        </w:rPr>
        <w:t>a approuvé la prolongation de ces priorités stratégiques d</w:t>
      </w:r>
      <w:r>
        <w:rPr>
          <w:rFonts w:ascii="Verdana" w:hAnsi="Verdana"/>
          <w:b/>
          <w:bCs/>
          <w:sz w:val="24"/>
          <w:szCs w:val="24"/>
        </w:rPr>
        <w:t>u CAÉB</w:t>
      </w:r>
      <w:r w:rsidRPr="00F81527">
        <w:rPr>
          <w:rFonts w:ascii="Verdana" w:hAnsi="Verdana"/>
          <w:b/>
          <w:bCs/>
          <w:sz w:val="24"/>
          <w:szCs w:val="24"/>
        </w:rPr>
        <w:t xml:space="preserve"> jusqu'en </w:t>
      </w:r>
      <w:r w:rsidR="005F3DAC">
        <w:rPr>
          <w:rFonts w:ascii="Verdana" w:hAnsi="Verdana"/>
          <w:b/>
          <w:bCs/>
          <w:sz w:val="24"/>
          <w:szCs w:val="24"/>
        </w:rPr>
        <w:t>juin</w:t>
      </w:r>
      <w:r w:rsidRPr="00F81527">
        <w:rPr>
          <w:rFonts w:ascii="Verdana" w:hAnsi="Verdana"/>
          <w:b/>
          <w:bCs/>
          <w:sz w:val="24"/>
          <w:szCs w:val="24"/>
        </w:rPr>
        <w:t xml:space="preserve"> 202</w:t>
      </w:r>
      <w:r w:rsidR="005F3DAC">
        <w:rPr>
          <w:rFonts w:ascii="Verdana" w:hAnsi="Verdana"/>
          <w:b/>
          <w:bCs/>
          <w:sz w:val="24"/>
          <w:szCs w:val="24"/>
        </w:rPr>
        <w:t>6</w:t>
      </w:r>
      <w:r w:rsidRPr="00F81527">
        <w:rPr>
          <w:rFonts w:ascii="Verdana" w:hAnsi="Verdana"/>
          <w:b/>
          <w:bCs/>
          <w:sz w:val="24"/>
          <w:szCs w:val="24"/>
        </w:rPr>
        <w:t>.</w:t>
      </w:r>
    </w:p>
    <w:p w14:paraId="42E44720" w14:textId="195DB544" w:rsidR="006C73BA" w:rsidRPr="00A66BDD" w:rsidRDefault="00BB3B8C" w:rsidP="006C73BA">
      <w:pPr>
        <w:pStyle w:val="Title"/>
        <w:rPr>
          <w:rFonts w:ascii="Verdana" w:hAnsi="Verdana"/>
        </w:rPr>
      </w:pPr>
      <w:r w:rsidRPr="00A66BDD">
        <w:rPr>
          <w:rFonts w:ascii="Verdana" w:hAnsi="Verdana"/>
        </w:rPr>
        <w:t>Priorités stratégiques du CAÉB</w:t>
      </w:r>
    </w:p>
    <w:p w14:paraId="19781518" w14:textId="00E980D3" w:rsidR="00B63DE6" w:rsidRPr="00A66BDD" w:rsidRDefault="00FE3CF1" w:rsidP="00EF7F25">
      <w:pPr>
        <w:rPr>
          <w:rFonts w:ascii="Verdana" w:hAnsi="Verdana"/>
        </w:rPr>
      </w:pPr>
      <w:r w:rsidRPr="00A66BDD">
        <w:rPr>
          <w:rFonts w:ascii="Verdana" w:hAnsi="Verdana"/>
        </w:rPr>
        <w:t>Ju</w:t>
      </w:r>
      <w:r w:rsidR="00BB3B8C" w:rsidRPr="00A66BDD">
        <w:rPr>
          <w:rFonts w:ascii="Verdana" w:hAnsi="Verdana"/>
        </w:rPr>
        <w:t>in</w:t>
      </w:r>
      <w:r w:rsidR="0066428F" w:rsidRPr="00A66BDD">
        <w:rPr>
          <w:rFonts w:ascii="Verdana" w:hAnsi="Verdana"/>
        </w:rPr>
        <w:t xml:space="preserve"> 2022</w:t>
      </w:r>
    </w:p>
    <w:p w14:paraId="5400020F" w14:textId="29A9F476" w:rsidR="00682CCA" w:rsidRPr="00A66BDD" w:rsidRDefault="00BB3B8C" w:rsidP="00F00A28">
      <w:pPr>
        <w:spacing w:line="276" w:lineRule="auto"/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>Très chers amis</w:t>
      </w:r>
      <w:r w:rsidR="00B63DE6" w:rsidRPr="00A66BDD">
        <w:rPr>
          <w:rFonts w:ascii="Verdana" w:hAnsi="Verdana"/>
          <w:sz w:val="24"/>
          <w:szCs w:val="24"/>
        </w:rPr>
        <w:t>,</w:t>
      </w:r>
    </w:p>
    <w:p w14:paraId="6BA3D724" w14:textId="1B3A9FA5" w:rsidR="00185E88" w:rsidRPr="00A66BDD" w:rsidRDefault="001D397B" w:rsidP="00185E88">
      <w:pPr>
        <w:pStyle w:val="Default"/>
        <w:spacing w:before="240" w:line="276" w:lineRule="auto"/>
        <w:rPr>
          <w:rFonts w:ascii="Verdana" w:hAnsi="Verdana"/>
          <w:lang w:val="fr-CA"/>
        </w:rPr>
      </w:pPr>
      <w:r w:rsidRPr="00A66BDD">
        <w:rPr>
          <w:rFonts w:ascii="Verdana" w:hAnsi="Verdana"/>
          <w:lang w:val="fr-CA"/>
        </w:rPr>
        <w:t xml:space="preserve">Depuis plusieurs mois, le </w:t>
      </w:r>
      <w:r w:rsidR="001A09F7" w:rsidRPr="00A66BDD">
        <w:rPr>
          <w:rFonts w:ascii="Verdana" w:hAnsi="Verdana"/>
          <w:lang w:val="fr-CA"/>
        </w:rPr>
        <w:t xml:space="preserve">Centre </w:t>
      </w:r>
      <w:r w:rsidRPr="00A66BDD">
        <w:rPr>
          <w:rFonts w:ascii="Verdana" w:hAnsi="Verdana"/>
          <w:lang w:val="fr-CA"/>
        </w:rPr>
        <w:t>d’accès é</w:t>
      </w:r>
      <w:r w:rsidR="001A09F7" w:rsidRPr="00A66BDD">
        <w:rPr>
          <w:rFonts w:ascii="Verdana" w:hAnsi="Verdana"/>
          <w:lang w:val="fr-CA"/>
        </w:rPr>
        <w:t>quitable</w:t>
      </w:r>
      <w:r w:rsidRPr="00A66BDD">
        <w:rPr>
          <w:rFonts w:ascii="Verdana" w:hAnsi="Verdana"/>
          <w:lang w:val="fr-CA"/>
        </w:rPr>
        <w:t xml:space="preserve"> aux bibliothèques</w:t>
      </w:r>
      <w:r w:rsidR="001A09F7" w:rsidRPr="00A66BDD">
        <w:rPr>
          <w:rFonts w:ascii="Verdana" w:hAnsi="Verdana"/>
          <w:lang w:val="fr-CA"/>
        </w:rPr>
        <w:t xml:space="preserve"> (</w:t>
      </w:r>
      <w:r w:rsidR="00BB3B8C" w:rsidRPr="00A66BDD">
        <w:rPr>
          <w:rFonts w:ascii="Verdana" w:hAnsi="Verdana"/>
          <w:lang w:val="fr-CA"/>
        </w:rPr>
        <w:t>CAÉB</w:t>
      </w:r>
      <w:r w:rsidR="001A09F7" w:rsidRPr="00A66BDD">
        <w:rPr>
          <w:rFonts w:ascii="Verdana" w:hAnsi="Verdana"/>
          <w:lang w:val="fr-CA"/>
        </w:rPr>
        <w:t>)</w:t>
      </w:r>
      <w:r w:rsidR="00E96FD4" w:rsidRPr="00A66BDD">
        <w:rPr>
          <w:rFonts w:ascii="Verdana" w:hAnsi="Verdana"/>
          <w:lang w:val="fr-CA"/>
        </w:rPr>
        <w:t xml:space="preserve"> travaille à l’élaboration de nos nouvelles priorités stratégiques, qui traceront </w:t>
      </w:r>
      <w:r w:rsidR="00A66BDD">
        <w:rPr>
          <w:rFonts w:ascii="Verdana" w:hAnsi="Verdana"/>
          <w:lang w:val="fr-CA"/>
        </w:rPr>
        <w:t>la</w:t>
      </w:r>
      <w:r w:rsidR="00E96FD4" w:rsidRPr="00A66BDD">
        <w:rPr>
          <w:rFonts w:ascii="Verdana" w:hAnsi="Verdana"/>
          <w:lang w:val="fr-CA"/>
        </w:rPr>
        <w:t xml:space="preserve"> voie à suivre jusqu’en </w:t>
      </w:r>
      <w:r w:rsidR="00F873F3">
        <w:rPr>
          <w:rFonts w:ascii="Verdana" w:hAnsi="Verdana"/>
          <w:lang w:val="fr-CA"/>
        </w:rPr>
        <w:t>juin 2026</w:t>
      </w:r>
      <w:r w:rsidR="00AC63AD" w:rsidRPr="00A66BDD">
        <w:rPr>
          <w:rFonts w:ascii="Verdana" w:hAnsi="Verdana"/>
          <w:lang w:val="fr-CA"/>
        </w:rPr>
        <w:t>.</w:t>
      </w:r>
      <w:r w:rsidR="00185E88" w:rsidRPr="00A66BDD">
        <w:rPr>
          <w:rFonts w:ascii="Verdana" w:hAnsi="Verdana"/>
          <w:lang w:val="fr-CA"/>
        </w:rPr>
        <w:t xml:space="preserve"> </w:t>
      </w:r>
      <w:r w:rsidR="009306F2" w:rsidRPr="00A66BDD">
        <w:rPr>
          <w:rFonts w:ascii="Verdana" w:hAnsi="Verdana"/>
          <w:lang w:val="fr-CA"/>
        </w:rPr>
        <w:t>Au départ, nous avions prévu lancer en 2021 un processus complet de planification straté</w:t>
      </w:r>
      <w:r w:rsidR="00A66BDD">
        <w:rPr>
          <w:rFonts w:ascii="Verdana" w:hAnsi="Verdana"/>
          <w:lang w:val="fr-CA"/>
        </w:rPr>
        <w:t>gi</w:t>
      </w:r>
      <w:r w:rsidR="009306F2" w:rsidRPr="00A66BDD">
        <w:rPr>
          <w:rFonts w:ascii="Verdana" w:hAnsi="Verdana"/>
          <w:lang w:val="fr-CA"/>
        </w:rPr>
        <w:t>que, en remplacement de notre plan stratégique</w:t>
      </w:r>
      <w:r w:rsidR="00185E88" w:rsidRPr="00A66BDD">
        <w:rPr>
          <w:rFonts w:ascii="Verdana" w:hAnsi="Verdana"/>
          <w:lang w:val="fr-CA"/>
        </w:rPr>
        <w:t xml:space="preserve"> </w:t>
      </w:r>
      <w:r w:rsidR="009306F2" w:rsidRPr="00A66BDD">
        <w:rPr>
          <w:rFonts w:ascii="Verdana" w:hAnsi="Verdana"/>
          <w:lang w:val="fr-CA"/>
        </w:rPr>
        <w:t>actuel qui fixe nos objectifs pour la période</w:t>
      </w:r>
      <w:r w:rsidR="00185E88" w:rsidRPr="00A66BDD">
        <w:rPr>
          <w:rFonts w:ascii="Verdana" w:hAnsi="Verdana"/>
          <w:lang w:val="fr-CA"/>
        </w:rPr>
        <w:t xml:space="preserve"> 2017-2021. </w:t>
      </w:r>
      <w:r w:rsidR="009306F2" w:rsidRPr="00A66BDD">
        <w:rPr>
          <w:rFonts w:ascii="Verdana" w:hAnsi="Verdana"/>
          <w:lang w:val="fr-CA"/>
        </w:rPr>
        <w:t>Nous avons toutefois dû nous réorganiser face aux répercussions de la pandémie et à l’incertitude entourant notre financement fédéral</w:t>
      </w:r>
      <w:r w:rsidR="00185E88" w:rsidRPr="00A66BDD">
        <w:rPr>
          <w:rFonts w:ascii="Verdana" w:hAnsi="Verdana"/>
          <w:lang w:val="fr-CA"/>
        </w:rPr>
        <w:t xml:space="preserve">. </w:t>
      </w:r>
      <w:r w:rsidR="00FB479C" w:rsidRPr="00A66BDD">
        <w:rPr>
          <w:rFonts w:ascii="Verdana" w:hAnsi="Verdana"/>
          <w:lang w:val="fr-CA"/>
        </w:rPr>
        <w:t>Le personnel et le C.A. du</w:t>
      </w:r>
      <w:r w:rsidR="00185E88" w:rsidRPr="00A66BDD">
        <w:rPr>
          <w:rFonts w:ascii="Verdana" w:hAnsi="Verdana"/>
          <w:lang w:val="fr-CA"/>
        </w:rPr>
        <w:t xml:space="preserve"> </w:t>
      </w:r>
      <w:r w:rsidR="00BB3B8C" w:rsidRPr="00A66BDD">
        <w:rPr>
          <w:rFonts w:ascii="Verdana" w:hAnsi="Verdana"/>
          <w:lang w:val="fr-CA"/>
        </w:rPr>
        <w:t>CAÉB</w:t>
      </w:r>
      <w:r w:rsidR="00FB479C" w:rsidRPr="00A66BDD">
        <w:rPr>
          <w:rFonts w:ascii="Verdana" w:hAnsi="Verdana"/>
          <w:lang w:val="fr-CA"/>
        </w:rPr>
        <w:t xml:space="preserve"> ont estimé plus logique d</w:t>
      </w:r>
      <w:r w:rsidR="00F15543" w:rsidRPr="00A66BDD">
        <w:rPr>
          <w:rFonts w:ascii="Verdana" w:hAnsi="Verdana"/>
          <w:lang w:val="fr-CA"/>
        </w:rPr>
        <w:t>’élaborer un bref plan réactualisé</w:t>
      </w:r>
      <w:r w:rsidR="00A66BDD">
        <w:rPr>
          <w:rFonts w:ascii="Verdana" w:hAnsi="Verdana"/>
          <w:lang w:val="fr-CA"/>
        </w:rPr>
        <w:t>,</w:t>
      </w:r>
      <w:r w:rsidR="00F15543" w:rsidRPr="00A66BDD">
        <w:rPr>
          <w:rFonts w:ascii="Verdana" w:hAnsi="Verdana"/>
          <w:lang w:val="fr-CA"/>
        </w:rPr>
        <w:t xml:space="preserve"> plus focalisé et permettant de faire un lien avec notre plan stratégique actuel pendant encore deux ans, dans l’attente d’une planification stratégique complète qui nous guidera jusqu’en</w:t>
      </w:r>
      <w:r w:rsidR="00185E88" w:rsidRPr="00A66BDD">
        <w:rPr>
          <w:rFonts w:ascii="Verdana" w:hAnsi="Verdana"/>
          <w:lang w:val="fr-CA"/>
        </w:rPr>
        <w:t xml:space="preserve"> 2024</w:t>
      </w:r>
      <w:r w:rsidR="00F15543" w:rsidRPr="00A66BDD">
        <w:rPr>
          <w:rFonts w:ascii="Verdana" w:hAnsi="Verdana"/>
          <w:lang w:val="fr-CA"/>
        </w:rPr>
        <w:t xml:space="preserve"> et au-delà</w:t>
      </w:r>
      <w:r w:rsidR="00185E88" w:rsidRPr="00A66BDD">
        <w:rPr>
          <w:rFonts w:ascii="Verdana" w:hAnsi="Verdana"/>
          <w:lang w:val="fr-CA"/>
        </w:rPr>
        <w:t xml:space="preserve">. </w:t>
      </w:r>
    </w:p>
    <w:p w14:paraId="6CF0439B" w14:textId="27F6FEF3" w:rsidR="00CA2BD2" w:rsidRPr="00A66BDD" w:rsidRDefault="00F15543" w:rsidP="00CA2BD2">
      <w:pPr>
        <w:pStyle w:val="Default"/>
        <w:spacing w:before="240" w:line="276" w:lineRule="auto"/>
        <w:rPr>
          <w:rFonts w:ascii="Verdana" w:hAnsi="Verdana"/>
          <w:lang w:val="fr-CA"/>
        </w:rPr>
      </w:pPr>
      <w:r w:rsidRPr="00A66BDD">
        <w:rPr>
          <w:rFonts w:ascii="Verdana" w:hAnsi="Verdana"/>
          <w:lang w:val="fr-CA"/>
        </w:rPr>
        <w:t>Comme vous le savez probablement</w:t>
      </w:r>
      <w:r w:rsidR="00682CCA" w:rsidRPr="00A66BDD">
        <w:rPr>
          <w:rFonts w:ascii="Verdana" w:hAnsi="Verdana"/>
          <w:lang w:val="fr-CA"/>
        </w:rPr>
        <w:t>,</w:t>
      </w:r>
      <w:r w:rsidRPr="00A66BDD">
        <w:rPr>
          <w:rFonts w:ascii="Verdana" w:hAnsi="Verdana"/>
          <w:lang w:val="fr-CA"/>
        </w:rPr>
        <w:t xml:space="preserve"> le</w:t>
      </w:r>
      <w:r w:rsidR="00682CCA" w:rsidRPr="00A66BDD">
        <w:rPr>
          <w:rFonts w:ascii="Verdana" w:hAnsi="Verdana"/>
          <w:lang w:val="fr-CA"/>
        </w:rPr>
        <w:t xml:space="preserve"> </w:t>
      </w:r>
      <w:r w:rsidR="00BB3B8C" w:rsidRPr="00A66BDD">
        <w:rPr>
          <w:rFonts w:ascii="Verdana" w:hAnsi="Verdana"/>
          <w:lang w:val="fr-CA"/>
        </w:rPr>
        <w:t>CAÉB</w:t>
      </w:r>
      <w:r w:rsidRPr="00A66BDD">
        <w:rPr>
          <w:rFonts w:ascii="Verdana" w:hAnsi="Verdana"/>
          <w:lang w:val="fr-CA"/>
        </w:rPr>
        <w:t xml:space="preserve"> est une organisation</w:t>
      </w:r>
      <w:r w:rsidR="00682CCA" w:rsidRPr="00A66BDD">
        <w:rPr>
          <w:rFonts w:ascii="Verdana" w:hAnsi="Verdana"/>
          <w:lang w:val="fr-CA"/>
        </w:rPr>
        <w:t xml:space="preserve"> national</w:t>
      </w:r>
      <w:r w:rsidRPr="00A66BDD">
        <w:rPr>
          <w:rFonts w:ascii="Verdana" w:hAnsi="Verdana"/>
          <w:lang w:val="fr-CA"/>
        </w:rPr>
        <w:t xml:space="preserve">e sans but </w:t>
      </w:r>
      <w:r w:rsidR="00A66BDD" w:rsidRPr="00A66BDD">
        <w:rPr>
          <w:rFonts w:ascii="Verdana" w:hAnsi="Verdana"/>
          <w:lang w:val="fr-CA"/>
        </w:rPr>
        <w:t>lucratif</w:t>
      </w:r>
      <w:r w:rsidR="00402178" w:rsidRPr="00A66BDD">
        <w:rPr>
          <w:rFonts w:ascii="Verdana" w:hAnsi="Verdana"/>
          <w:lang w:val="fr-CA"/>
        </w:rPr>
        <w:t xml:space="preserve"> qui offre des services de lecture</w:t>
      </w:r>
      <w:r w:rsidR="00682CCA" w:rsidRPr="00A66BDD">
        <w:rPr>
          <w:rFonts w:ascii="Verdana" w:hAnsi="Verdana"/>
          <w:lang w:val="fr-CA"/>
        </w:rPr>
        <w:t xml:space="preserve"> accessible</w:t>
      </w:r>
      <w:r w:rsidR="00402178" w:rsidRPr="00A66BDD">
        <w:rPr>
          <w:rFonts w:ascii="Verdana" w:hAnsi="Verdana"/>
          <w:lang w:val="fr-CA"/>
        </w:rPr>
        <w:t xml:space="preserve"> aux quelque trois millions de Canadiens incapables de lire les imprimés</w:t>
      </w:r>
      <w:r w:rsidR="00682CCA" w:rsidRPr="00A66BDD">
        <w:rPr>
          <w:rFonts w:ascii="Verdana" w:hAnsi="Verdana"/>
          <w:lang w:val="fr-CA"/>
        </w:rPr>
        <w:t>.</w:t>
      </w:r>
      <w:r w:rsidR="00402178" w:rsidRPr="00A66BDD">
        <w:rPr>
          <w:rFonts w:ascii="Verdana" w:hAnsi="Verdana"/>
          <w:lang w:val="fr-CA"/>
        </w:rPr>
        <w:t xml:space="preserve"> La déficience de lecture des imprimés touche les personnes aveugles ou malvoyantes</w:t>
      </w:r>
      <w:r w:rsidR="00682CCA" w:rsidRPr="00A66BDD">
        <w:rPr>
          <w:rFonts w:ascii="Verdana" w:hAnsi="Verdana"/>
          <w:lang w:val="fr-CA"/>
        </w:rPr>
        <w:t>,</w:t>
      </w:r>
      <w:r w:rsidR="00402178" w:rsidRPr="00A66BDD">
        <w:rPr>
          <w:rFonts w:ascii="Verdana" w:hAnsi="Verdana"/>
          <w:lang w:val="fr-CA"/>
        </w:rPr>
        <w:t xml:space="preserve"> celles </w:t>
      </w:r>
      <w:r w:rsidR="006123CF" w:rsidRPr="00A66BDD">
        <w:rPr>
          <w:rFonts w:ascii="Verdana" w:hAnsi="Verdana" w:cs="Segoe UI"/>
          <w:color w:val="242424"/>
          <w:shd w:val="clear" w:color="auto" w:fill="FFFFFF"/>
          <w:lang w:val="fr-CA"/>
        </w:rPr>
        <w:t>ayant un trouble cognitif comme la dyslexie ou celles ayant un handicap physique les empêchant de lire adéquatement un livre physique</w:t>
      </w:r>
      <w:r w:rsidR="00682CCA" w:rsidRPr="00A66BDD">
        <w:rPr>
          <w:rFonts w:ascii="Verdana" w:hAnsi="Verdana"/>
          <w:lang w:val="fr-CA"/>
        </w:rPr>
        <w:t xml:space="preserve">. </w:t>
      </w:r>
      <w:r w:rsidR="006123CF" w:rsidRPr="00A66BDD">
        <w:rPr>
          <w:rFonts w:ascii="Verdana" w:hAnsi="Verdana"/>
          <w:lang w:val="fr-CA"/>
        </w:rPr>
        <w:t xml:space="preserve">Nos </w:t>
      </w:r>
      <w:r w:rsidR="00682CCA" w:rsidRPr="00A66BDD">
        <w:rPr>
          <w:rFonts w:ascii="Verdana" w:hAnsi="Verdana"/>
          <w:lang w:val="fr-CA"/>
        </w:rPr>
        <w:t>services</w:t>
      </w:r>
      <w:r w:rsidR="006123CF" w:rsidRPr="00A66BDD">
        <w:rPr>
          <w:rFonts w:ascii="Verdana" w:hAnsi="Verdana"/>
          <w:lang w:val="fr-CA"/>
        </w:rPr>
        <w:t xml:space="preserve"> permettent aux personnes incapables de lire les imprimés de partout au pays de participer plus pleinement</w:t>
      </w:r>
      <w:r w:rsidR="00CE698E" w:rsidRPr="00A66BDD">
        <w:rPr>
          <w:rFonts w:ascii="Verdana" w:hAnsi="Verdana" w:cstheme="minorHAnsi"/>
          <w:lang w:val="fr-CA"/>
        </w:rPr>
        <w:t xml:space="preserve"> à leurs activités d’apprentissage, professionnelles et communautaires, et </w:t>
      </w:r>
      <w:r w:rsidR="008C0A84">
        <w:rPr>
          <w:rFonts w:ascii="Verdana" w:hAnsi="Verdana" w:cstheme="minorHAnsi"/>
          <w:lang w:val="fr-CA"/>
        </w:rPr>
        <w:t>de</w:t>
      </w:r>
      <w:r w:rsidR="00CE698E" w:rsidRPr="00A66BDD">
        <w:rPr>
          <w:rFonts w:ascii="Verdana" w:hAnsi="Verdana" w:cstheme="minorHAnsi"/>
          <w:lang w:val="fr-CA"/>
        </w:rPr>
        <w:t xml:space="preserve"> contribuer au développement et au succès social, culturel et économique de leur lieu de vie, et du Canada en général</w:t>
      </w:r>
      <w:r w:rsidR="00682CCA" w:rsidRPr="00A66BDD">
        <w:rPr>
          <w:rFonts w:ascii="Verdana" w:hAnsi="Verdana"/>
          <w:lang w:val="fr-CA"/>
        </w:rPr>
        <w:t>.</w:t>
      </w:r>
      <w:r w:rsidR="00CA2BD2" w:rsidRPr="00A66BDD">
        <w:rPr>
          <w:rFonts w:ascii="Verdana" w:hAnsi="Verdana"/>
          <w:lang w:val="fr-CA"/>
        </w:rPr>
        <w:t xml:space="preserve"> </w:t>
      </w:r>
    </w:p>
    <w:p w14:paraId="53B9B45A" w14:textId="4E5F16D3" w:rsidR="00185E88" w:rsidRPr="00A66BDD" w:rsidRDefault="00CE698E" w:rsidP="00CA2BD2">
      <w:pPr>
        <w:pStyle w:val="Default"/>
        <w:spacing w:before="240" w:line="276" w:lineRule="auto"/>
        <w:rPr>
          <w:rFonts w:ascii="Verdana" w:hAnsi="Verdana"/>
          <w:lang w:val="fr-CA"/>
        </w:rPr>
      </w:pPr>
      <w:r w:rsidRPr="00A66BDD">
        <w:rPr>
          <w:rFonts w:ascii="Verdana" w:hAnsi="Verdana"/>
          <w:lang w:val="fr-CA"/>
        </w:rPr>
        <w:lastRenderedPageBreak/>
        <w:t xml:space="preserve">Nos priorités stratégiques ont été établies à partir de notre plan stratégique actuel et ont été modifiées et actualisées de manière à tenir compte des changements observés </w:t>
      </w:r>
      <w:r w:rsidR="00C201CC" w:rsidRPr="00A66BDD">
        <w:rPr>
          <w:rFonts w:ascii="Verdana" w:hAnsi="Verdana"/>
          <w:lang w:val="fr-CA"/>
        </w:rPr>
        <w:t>dans le contexte actuel, en particulier dans les domaines de la diversité, de l’équité et de l’</w:t>
      </w:r>
      <w:r w:rsidR="00AC63AD" w:rsidRPr="00A66BDD">
        <w:rPr>
          <w:rFonts w:ascii="Verdana" w:hAnsi="Verdana"/>
          <w:lang w:val="fr-CA"/>
        </w:rPr>
        <w:t>inclusion.</w:t>
      </w:r>
      <w:r w:rsidR="00DD78AF" w:rsidRPr="00A66BDD">
        <w:rPr>
          <w:rFonts w:ascii="Verdana" w:hAnsi="Verdana"/>
          <w:lang w:val="fr-CA"/>
        </w:rPr>
        <w:t xml:space="preserve"> </w:t>
      </w:r>
      <w:r w:rsidR="00C201CC" w:rsidRPr="00A66BDD">
        <w:rPr>
          <w:rFonts w:ascii="Verdana" w:hAnsi="Verdana"/>
          <w:lang w:val="fr-CA"/>
        </w:rPr>
        <w:t>Dans le cadre de notre processus</w:t>
      </w:r>
      <w:r w:rsidR="00DD78AF" w:rsidRPr="00A66BDD">
        <w:rPr>
          <w:rFonts w:ascii="Verdana" w:hAnsi="Verdana"/>
          <w:lang w:val="fr-CA"/>
        </w:rPr>
        <w:t>,</w:t>
      </w:r>
      <w:r w:rsidR="00C201CC" w:rsidRPr="00A66BDD">
        <w:rPr>
          <w:rFonts w:ascii="Verdana" w:hAnsi="Verdana"/>
          <w:lang w:val="fr-CA"/>
        </w:rPr>
        <w:t xml:space="preserve"> nous avons organisé des séances de </w:t>
      </w:r>
      <w:r w:rsidR="00DD78AF" w:rsidRPr="00A66BDD">
        <w:rPr>
          <w:rFonts w:ascii="Verdana" w:hAnsi="Verdana"/>
          <w:lang w:val="fr-CA"/>
        </w:rPr>
        <w:t>consultation</w:t>
      </w:r>
      <w:r w:rsidR="00C201CC" w:rsidRPr="00A66BDD">
        <w:rPr>
          <w:rFonts w:ascii="Verdana" w:hAnsi="Verdana"/>
          <w:lang w:val="fr-CA"/>
        </w:rPr>
        <w:t xml:space="preserve"> avec les principales parties prenantes, notamment des membres du personnel et du C.A. du </w:t>
      </w:r>
      <w:r w:rsidR="00A66BDD" w:rsidRPr="00A66BDD">
        <w:rPr>
          <w:rFonts w:ascii="Verdana" w:hAnsi="Verdana"/>
          <w:lang w:val="fr-CA"/>
        </w:rPr>
        <w:t>CAÉB</w:t>
      </w:r>
      <w:r w:rsidR="00DD78AF" w:rsidRPr="00A66BDD">
        <w:rPr>
          <w:rFonts w:ascii="Verdana" w:hAnsi="Verdana"/>
          <w:lang w:val="fr-CA"/>
        </w:rPr>
        <w:t>,</w:t>
      </w:r>
      <w:r w:rsidR="00C201CC" w:rsidRPr="00A66BDD">
        <w:rPr>
          <w:rFonts w:ascii="Verdana" w:hAnsi="Verdana"/>
          <w:lang w:val="fr-CA"/>
        </w:rPr>
        <w:t xml:space="preserve"> des représentants des</w:t>
      </w:r>
      <w:r w:rsidR="00DD78AF" w:rsidRPr="00A66BDD">
        <w:rPr>
          <w:rFonts w:ascii="Verdana" w:hAnsi="Verdana"/>
          <w:lang w:val="fr-CA"/>
        </w:rPr>
        <w:t xml:space="preserve"> </w:t>
      </w:r>
      <w:r w:rsidR="001D397B" w:rsidRPr="00A66BDD">
        <w:rPr>
          <w:rFonts w:ascii="Verdana" w:hAnsi="Verdana"/>
          <w:lang w:val="fr-CA"/>
        </w:rPr>
        <w:t xml:space="preserve">bibliothèques </w:t>
      </w:r>
      <w:r w:rsidR="00DD78AF" w:rsidRPr="00A66BDD">
        <w:rPr>
          <w:rFonts w:ascii="Verdana" w:hAnsi="Verdana"/>
          <w:lang w:val="fr-CA"/>
        </w:rPr>
        <w:t>publi</w:t>
      </w:r>
      <w:r w:rsidR="00C201CC" w:rsidRPr="00A66BDD">
        <w:rPr>
          <w:rFonts w:ascii="Verdana" w:hAnsi="Verdana"/>
          <w:lang w:val="fr-CA"/>
        </w:rPr>
        <w:t>ques, des enseignants, des abonnés et des partenaires stratégiques</w:t>
      </w:r>
      <w:r w:rsidR="00DD78AF" w:rsidRPr="00A66BDD">
        <w:rPr>
          <w:rFonts w:ascii="Verdana" w:hAnsi="Verdana"/>
          <w:lang w:val="fr-CA"/>
        </w:rPr>
        <w:t>.</w:t>
      </w:r>
      <w:r w:rsidR="00C201CC" w:rsidRPr="00A66BDD">
        <w:rPr>
          <w:rFonts w:ascii="Verdana" w:hAnsi="Verdana"/>
          <w:lang w:val="fr-CA"/>
        </w:rPr>
        <w:t xml:space="preserve"> Ces séances nous ont fourni une rétroaction précieuse qui a servi à établir nos nouvelles priorités stratégiques</w:t>
      </w:r>
      <w:r w:rsidR="00DD78AF" w:rsidRPr="00A66BDD">
        <w:rPr>
          <w:rFonts w:ascii="Verdana" w:hAnsi="Verdana"/>
          <w:lang w:val="fr-CA"/>
        </w:rPr>
        <w:t xml:space="preserve">. </w:t>
      </w:r>
    </w:p>
    <w:p w14:paraId="70F20BD2" w14:textId="671F35D6" w:rsidR="00AC63AD" w:rsidRPr="00A66BDD" w:rsidRDefault="00C201CC" w:rsidP="00CA2BD2">
      <w:pPr>
        <w:pStyle w:val="Default"/>
        <w:spacing w:before="240" w:line="276" w:lineRule="auto"/>
        <w:rPr>
          <w:rFonts w:ascii="Verdana" w:hAnsi="Verdana"/>
          <w:lang w:val="fr-CA"/>
        </w:rPr>
      </w:pPr>
      <w:r w:rsidRPr="00A66BDD">
        <w:rPr>
          <w:rFonts w:ascii="Verdana" w:hAnsi="Verdana"/>
          <w:lang w:val="fr-CA"/>
        </w:rPr>
        <w:t>Bien que notre</w:t>
      </w:r>
      <w:r w:rsidR="00AC63AD" w:rsidRPr="00A66BDD">
        <w:rPr>
          <w:rFonts w:ascii="Verdana" w:hAnsi="Verdana"/>
          <w:lang w:val="fr-CA"/>
        </w:rPr>
        <w:t xml:space="preserve"> mission</w:t>
      </w:r>
      <w:r w:rsidRPr="00A66BDD">
        <w:rPr>
          <w:rFonts w:ascii="Verdana" w:hAnsi="Verdana"/>
          <w:lang w:val="fr-CA"/>
        </w:rPr>
        <w:t xml:space="preserve"> reste inchangée</w:t>
      </w:r>
      <w:r w:rsidR="00AC63AD" w:rsidRPr="00A66BDD">
        <w:rPr>
          <w:rFonts w:ascii="Verdana" w:hAnsi="Verdana"/>
          <w:lang w:val="fr-CA"/>
        </w:rPr>
        <w:t xml:space="preserve"> </w:t>
      </w:r>
      <w:r w:rsidRPr="00A66BDD">
        <w:rPr>
          <w:rFonts w:ascii="Verdana" w:hAnsi="Verdana"/>
          <w:lang w:val="fr-CA"/>
        </w:rPr>
        <w:t>–</w:t>
      </w:r>
      <w:r w:rsidR="00AC63AD" w:rsidRPr="00A66BDD">
        <w:rPr>
          <w:rFonts w:ascii="Verdana" w:hAnsi="Verdana"/>
          <w:lang w:val="fr-CA"/>
        </w:rPr>
        <w:t xml:space="preserve"> </w:t>
      </w:r>
      <w:r w:rsidRPr="00A66BDD">
        <w:rPr>
          <w:rFonts w:ascii="Verdana" w:hAnsi="Verdana"/>
          <w:lang w:val="fr-CA"/>
        </w:rPr>
        <w:t>soutenir les</w:t>
      </w:r>
      <w:r w:rsidR="001D397B" w:rsidRPr="00A66BDD">
        <w:rPr>
          <w:rFonts w:ascii="Verdana" w:hAnsi="Verdana"/>
          <w:lang w:val="fr-CA"/>
        </w:rPr>
        <w:t xml:space="preserve"> bibliothèques</w:t>
      </w:r>
      <w:r w:rsidR="00AC63AD" w:rsidRPr="00A66BDD">
        <w:rPr>
          <w:rFonts w:ascii="Verdana" w:hAnsi="Verdana"/>
          <w:lang w:val="fr-CA"/>
        </w:rPr>
        <w:t xml:space="preserve"> </w:t>
      </w:r>
      <w:r w:rsidRPr="00A66BDD">
        <w:rPr>
          <w:rFonts w:ascii="Verdana" w:hAnsi="Verdana"/>
          <w:lang w:val="fr-CA"/>
        </w:rPr>
        <w:t>publiques dans la mise à disposition de collections</w:t>
      </w:r>
      <w:r w:rsidR="00AC63AD" w:rsidRPr="00A66BDD">
        <w:rPr>
          <w:rFonts w:ascii="Verdana" w:hAnsi="Verdana"/>
          <w:lang w:val="fr-CA"/>
        </w:rPr>
        <w:t xml:space="preserve"> accessible</w:t>
      </w:r>
      <w:r w:rsidRPr="00A66BDD">
        <w:rPr>
          <w:rFonts w:ascii="Verdana" w:hAnsi="Verdana"/>
          <w:lang w:val="fr-CA"/>
        </w:rPr>
        <w:t>s aux Canadiens incapables de lire les imprimés et défendre le droit</w:t>
      </w:r>
      <w:r w:rsidR="00AC63AD" w:rsidRPr="00A66BDD">
        <w:rPr>
          <w:rFonts w:ascii="Verdana" w:hAnsi="Verdana"/>
          <w:lang w:val="fr-CA"/>
        </w:rPr>
        <w:t xml:space="preserve"> f</w:t>
      </w:r>
      <w:r w:rsidRPr="00A66BDD">
        <w:rPr>
          <w:rFonts w:ascii="Verdana" w:hAnsi="Verdana"/>
          <w:lang w:val="fr-CA"/>
        </w:rPr>
        <w:t>o</w:t>
      </w:r>
      <w:r w:rsidR="00AC63AD" w:rsidRPr="00A66BDD">
        <w:rPr>
          <w:rFonts w:ascii="Verdana" w:hAnsi="Verdana"/>
          <w:lang w:val="fr-CA"/>
        </w:rPr>
        <w:t xml:space="preserve">ndamental </w:t>
      </w:r>
      <w:r w:rsidRPr="00A66BDD">
        <w:rPr>
          <w:rFonts w:ascii="Verdana" w:hAnsi="Verdana"/>
          <w:lang w:val="fr-CA"/>
        </w:rPr>
        <w:t>de ces personnes à accéder à des médias et à du matériel de lecture dans le</w:t>
      </w:r>
      <w:r w:rsidR="00AC63AD" w:rsidRPr="00A66BDD">
        <w:rPr>
          <w:rFonts w:ascii="Verdana" w:hAnsi="Verdana"/>
          <w:lang w:val="fr-CA"/>
        </w:rPr>
        <w:t xml:space="preserve"> format</w:t>
      </w:r>
      <w:r w:rsidRPr="00A66BDD">
        <w:rPr>
          <w:rFonts w:ascii="Verdana" w:hAnsi="Verdana"/>
          <w:lang w:val="fr-CA"/>
        </w:rPr>
        <w:t xml:space="preserve"> de leur choix</w:t>
      </w:r>
      <w:r w:rsidR="00AC63AD" w:rsidRPr="00A66BDD">
        <w:rPr>
          <w:rFonts w:ascii="Verdana" w:hAnsi="Verdana"/>
          <w:lang w:val="fr-CA"/>
        </w:rPr>
        <w:t xml:space="preserve"> </w:t>
      </w:r>
      <w:r w:rsidR="008F4AFB" w:rsidRPr="00A66BDD">
        <w:rPr>
          <w:rFonts w:ascii="Verdana" w:hAnsi="Verdana"/>
          <w:lang w:val="fr-CA"/>
        </w:rPr>
        <w:t>–, nos priorités actualisées nous permettront de dével</w:t>
      </w:r>
      <w:r w:rsidR="00AF6600" w:rsidRPr="00A66BDD">
        <w:rPr>
          <w:rFonts w:ascii="Verdana" w:hAnsi="Verdana"/>
          <w:lang w:val="fr-CA"/>
        </w:rPr>
        <w:t>opper et d’élargir notre action au cours des deux prochaines années</w:t>
      </w:r>
      <w:r w:rsidR="00AC63AD" w:rsidRPr="00A66BDD">
        <w:rPr>
          <w:rFonts w:ascii="Verdana" w:hAnsi="Verdana"/>
          <w:lang w:val="fr-CA"/>
        </w:rPr>
        <w:t>.</w:t>
      </w:r>
      <w:r w:rsidR="00421627" w:rsidRPr="00A66BDD">
        <w:rPr>
          <w:rFonts w:ascii="Verdana" w:hAnsi="Verdana"/>
          <w:lang w:val="fr-CA"/>
        </w:rPr>
        <w:t xml:space="preserve"> </w:t>
      </w:r>
      <w:r w:rsidR="00AF6600" w:rsidRPr="00A66BDD">
        <w:rPr>
          <w:rFonts w:ascii="Verdana" w:hAnsi="Verdana"/>
          <w:lang w:val="fr-CA"/>
        </w:rPr>
        <w:t>Une fois en vigueur nos priorités stratégiques actualisées, en juillet</w:t>
      </w:r>
      <w:r w:rsidR="00B63DE6" w:rsidRPr="00A66BDD">
        <w:rPr>
          <w:rFonts w:ascii="Verdana" w:hAnsi="Verdana"/>
          <w:lang w:val="fr-CA"/>
        </w:rPr>
        <w:t xml:space="preserve"> 2022</w:t>
      </w:r>
      <w:r w:rsidR="00DD78AF" w:rsidRPr="00A66BDD">
        <w:rPr>
          <w:rFonts w:ascii="Verdana" w:hAnsi="Verdana"/>
          <w:lang w:val="fr-CA"/>
        </w:rPr>
        <w:t xml:space="preserve">, </w:t>
      </w:r>
      <w:r w:rsidR="00AF6600" w:rsidRPr="00A66BDD">
        <w:rPr>
          <w:rFonts w:ascii="Verdana" w:hAnsi="Verdana"/>
          <w:lang w:val="fr-CA"/>
        </w:rPr>
        <w:t>nous comptons ensuite élaborer un plan d’action détaillé afin de nous assurer que nos efforts actuels et futurs correspondent à cette nouvelle stratégie actualisée</w:t>
      </w:r>
      <w:r w:rsidR="00421627" w:rsidRPr="00A66BDD">
        <w:rPr>
          <w:rFonts w:ascii="Verdana" w:hAnsi="Verdana"/>
          <w:lang w:val="fr-CA"/>
        </w:rPr>
        <w:t>.</w:t>
      </w:r>
    </w:p>
    <w:p w14:paraId="10BC6C41" w14:textId="0F4658E9" w:rsidR="00AC63AD" w:rsidRPr="00A66BDD" w:rsidRDefault="00AF6600" w:rsidP="00CA2BD2">
      <w:pPr>
        <w:spacing w:before="240" w:line="276" w:lineRule="auto"/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>Nos priorités stratégiques actualisées sont fondées sur cinq principaux domaines </w:t>
      </w:r>
      <w:r w:rsidR="00AC63AD" w:rsidRPr="00A66BDD">
        <w:rPr>
          <w:rFonts w:ascii="Verdana" w:hAnsi="Verdana"/>
          <w:sz w:val="24"/>
          <w:szCs w:val="24"/>
        </w:rPr>
        <w:t>:</w:t>
      </w:r>
    </w:p>
    <w:p w14:paraId="5F26FA72" w14:textId="28C02165" w:rsidR="00AC63AD" w:rsidRPr="00A66BDD" w:rsidRDefault="00AF6600" w:rsidP="00CA2BD2">
      <w:pPr>
        <w:pStyle w:val="ListParagraph"/>
        <w:numPr>
          <w:ilvl w:val="0"/>
          <w:numId w:val="16"/>
        </w:numPr>
        <w:spacing w:before="240" w:line="276" w:lineRule="auto"/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>Tirer parti des avancées en matière de technologie numérique</w:t>
      </w:r>
      <w:r w:rsidR="00AC63AD" w:rsidRPr="00A66BDD">
        <w:rPr>
          <w:rFonts w:ascii="Verdana" w:hAnsi="Verdana"/>
          <w:sz w:val="24"/>
          <w:szCs w:val="24"/>
        </w:rPr>
        <w:t xml:space="preserve"> </w:t>
      </w:r>
    </w:p>
    <w:p w14:paraId="2791C1EC" w14:textId="53694046" w:rsidR="00AC63AD" w:rsidRPr="00A66BDD" w:rsidRDefault="000552C2" w:rsidP="00CA2BD2">
      <w:pPr>
        <w:pStyle w:val="ListParagraph"/>
        <w:numPr>
          <w:ilvl w:val="0"/>
          <w:numId w:val="16"/>
        </w:numPr>
        <w:spacing w:before="240" w:line="276" w:lineRule="auto"/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>Développer une solide collection équitable et a</w:t>
      </w:r>
      <w:r w:rsidR="00AC63AD" w:rsidRPr="00A66BDD">
        <w:rPr>
          <w:rFonts w:ascii="Verdana" w:hAnsi="Verdana"/>
          <w:sz w:val="24"/>
          <w:szCs w:val="24"/>
        </w:rPr>
        <w:t>ccessible</w:t>
      </w:r>
      <w:r w:rsidRPr="00A66BDD">
        <w:rPr>
          <w:rFonts w:ascii="Verdana" w:hAnsi="Verdana"/>
          <w:sz w:val="24"/>
          <w:szCs w:val="24"/>
        </w:rPr>
        <w:t>, privilégiant les choix de format</w:t>
      </w:r>
    </w:p>
    <w:p w14:paraId="1DC93914" w14:textId="19EC9B60" w:rsidR="00AC63AD" w:rsidRPr="00A66BDD" w:rsidRDefault="000552C2" w:rsidP="00CA2BD2">
      <w:pPr>
        <w:pStyle w:val="ListParagraph"/>
        <w:numPr>
          <w:ilvl w:val="0"/>
          <w:numId w:val="16"/>
        </w:numPr>
        <w:spacing w:before="240" w:line="276" w:lineRule="auto"/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>Encourager l’e</w:t>
      </w:r>
      <w:r w:rsidR="00AC63AD" w:rsidRPr="00A66BDD">
        <w:rPr>
          <w:rFonts w:ascii="Verdana" w:hAnsi="Verdana"/>
          <w:sz w:val="24"/>
          <w:szCs w:val="24"/>
        </w:rPr>
        <w:t xml:space="preserve">xcellence </w:t>
      </w:r>
      <w:r w:rsidRPr="00A66BDD">
        <w:rPr>
          <w:rFonts w:ascii="Verdana" w:hAnsi="Verdana"/>
          <w:sz w:val="24"/>
          <w:szCs w:val="24"/>
        </w:rPr>
        <w:t>en matière d’a</w:t>
      </w:r>
      <w:r w:rsidR="00AC63AD" w:rsidRPr="00A66BDD">
        <w:rPr>
          <w:rFonts w:ascii="Verdana" w:hAnsi="Verdana"/>
          <w:sz w:val="24"/>
          <w:szCs w:val="24"/>
        </w:rPr>
        <w:t>ccessibilit</w:t>
      </w:r>
      <w:r w:rsidRPr="00A66BDD">
        <w:rPr>
          <w:rFonts w:ascii="Verdana" w:hAnsi="Verdana"/>
          <w:sz w:val="24"/>
          <w:szCs w:val="24"/>
        </w:rPr>
        <w:t>é</w:t>
      </w:r>
    </w:p>
    <w:p w14:paraId="4B9F6C89" w14:textId="0EE024AC" w:rsidR="00AC63AD" w:rsidRPr="00A66BDD" w:rsidRDefault="000552C2" w:rsidP="00CA2BD2">
      <w:pPr>
        <w:pStyle w:val="ListParagraph"/>
        <w:numPr>
          <w:ilvl w:val="0"/>
          <w:numId w:val="16"/>
        </w:numPr>
        <w:spacing w:before="240" w:line="276" w:lineRule="auto"/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>Renforcer nos relations avec les partenaires de l’écosystème de lecture é</w:t>
      </w:r>
      <w:r w:rsidR="00AC63AD" w:rsidRPr="00A66BDD">
        <w:rPr>
          <w:rFonts w:ascii="Verdana" w:hAnsi="Verdana"/>
          <w:sz w:val="24"/>
          <w:szCs w:val="24"/>
        </w:rPr>
        <w:t>quitable</w:t>
      </w:r>
    </w:p>
    <w:p w14:paraId="13F0C00F" w14:textId="275ECB24" w:rsidR="00AC63AD" w:rsidRPr="00A66BDD" w:rsidRDefault="00DB4E9B" w:rsidP="00CA2BD2">
      <w:pPr>
        <w:pStyle w:val="ListParagraph"/>
        <w:numPr>
          <w:ilvl w:val="0"/>
          <w:numId w:val="16"/>
        </w:numPr>
        <w:spacing w:before="240" w:line="276" w:lineRule="auto"/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>Créer une organisation i</w:t>
      </w:r>
      <w:r w:rsidR="00AC63AD" w:rsidRPr="00A66BDD">
        <w:rPr>
          <w:rFonts w:ascii="Verdana" w:hAnsi="Verdana"/>
          <w:sz w:val="24"/>
          <w:szCs w:val="24"/>
        </w:rPr>
        <w:t>nclusive</w:t>
      </w:r>
      <w:r w:rsidRPr="00A66BDD">
        <w:rPr>
          <w:rFonts w:ascii="Verdana" w:hAnsi="Verdana"/>
          <w:sz w:val="24"/>
          <w:szCs w:val="24"/>
        </w:rPr>
        <w:t xml:space="preserve"> et diversifiée</w:t>
      </w:r>
    </w:p>
    <w:p w14:paraId="01BA8171" w14:textId="1A4B4397" w:rsidR="00B63DE6" w:rsidRPr="00A66BDD" w:rsidRDefault="00DB4E9B" w:rsidP="007C588F">
      <w:pPr>
        <w:spacing w:line="276" w:lineRule="auto"/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>Cela étant dit, nous sommes heureux de vous faire part des priorités stratégiques du</w:t>
      </w:r>
      <w:r w:rsidR="00BB3B8C" w:rsidRPr="00A66BDD">
        <w:rPr>
          <w:rFonts w:ascii="Verdana" w:hAnsi="Verdana"/>
          <w:sz w:val="24"/>
          <w:szCs w:val="24"/>
        </w:rPr>
        <w:t xml:space="preserve"> CAÉB </w:t>
      </w:r>
      <w:r w:rsidR="00AC63AD" w:rsidRPr="00A66BDD">
        <w:rPr>
          <w:rFonts w:ascii="Verdana" w:hAnsi="Verdana"/>
          <w:sz w:val="24"/>
          <w:szCs w:val="24"/>
        </w:rPr>
        <w:t>(</w:t>
      </w:r>
      <w:r w:rsidRPr="00A66BDD">
        <w:rPr>
          <w:rFonts w:ascii="Verdana" w:hAnsi="Verdana"/>
          <w:sz w:val="24"/>
          <w:szCs w:val="24"/>
        </w:rPr>
        <w:t>juillet</w:t>
      </w:r>
      <w:r w:rsidR="00AC63AD" w:rsidRPr="00A66BDD">
        <w:rPr>
          <w:rFonts w:ascii="Verdana" w:hAnsi="Verdana"/>
          <w:sz w:val="24"/>
          <w:szCs w:val="24"/>
        </w:rPr>
        <w:t xml:space="preserve"> 2022 – </w:t>
      </w:r>
      <w:r w:rsidR="00F873F3">
        <w:rPr>
          <w:rFonts w:ascii="Verdana" w:hAnsi="Verdana"/>
          <w:sz w:val="24"/>
          <w:szCs w:val="24"/>
        </w:rPr>
        <w:t>juin</w:t>
      </w:r>
      <w:r w:rsidR="00AC63AD" w:rsidRPr="00A66BDD">
        <w:rPr>
          <w:rFonts w:ascii="Verdana" w:hAnsi="Verdana"/>
          <w:sz w:val="24"/>
          <w:szCs w:val="24"/>
        </w:rPr>
        <w:t xml:space="preserve"> 202</w:t>
      </w:r>
      <w:r w:rsidR="00F873F3">
        <w:rPr>
          <w:rFonts w:ascii="Verdana" w:hAnsi="Verdana"/>
          <w:sz w:val="24"/>
          <w:szCs w:val="24"/>
        </w:rPr>
        <w:t>6</w:t>
      </w:r>
      <w:r w:rsidR="00AC63AD" w:rsidRPr="00A66BDD">
        <w:rPr>
          <w:rFonts w:ascii="Verdana" w:hAnsi="Verdana"/>
          <w:sz w:val="24"/>
          <w:szCs w:val="24"/>
        </w:rPr>
        <w:t>).</w:t>
      </w:r>
      <w:r w:rsidRPr="00A66BDD">
        <w:rPr>
          <w:rFonts w:ascii="Verdana" w:hAnsi="Verdana"/>
          <w:sz w:val="24"/>
          <w:szCs w:val="24"/>
        </w:rPr>
        <w:t xml:space="preserve"> Nous vous remercions toutes et tous de votre soutien et sommes impatients de </w:t>
      </w:r>
      <w:r w:rsidR="00DC3617" w:rsidRPr="00A66BDD">
        <w:rPr>
          <w:rFonts w:ascii="Verdana" w:hAnsi="Verdana"/>
          <w:sz w:val="24"/>
          <w:szCs w:val="24"/>
        </w:rPr>
        <w:t>poursuivre avec vous la création d’un écosystème de lecture équitable</w:t>
      </w:r>
      <w:r w:rsidR="00B63DE6" w:rsidRPr="00A66BDD">
        <w:rPr>
          <w:rFonts w:ascii="Verdana" w:hAnsi="Verdana"/>
          <w:sz w:val="24"/>
          <w:szCs w:val="24"/>
        </w:rPr>
        <w:t>.</w:t>
      </w:r>
    </w:p>
    <w:p w14:paraId="386D6261" w14:textId="019CCCBB" w:rsidR="00B63DE6" w:rsidRPr="00A66BDD" w:rsidRDefault="00DC3617" w:rsidP="00AC63AD">
      <w:pPr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>Cordialement</w:t>
      </w:r>
      <w:r w:rsidR="00B63DE6" w:rsidRPr="00A66BDD">
        <w:rPr>
          <w:rFonts w:ascii="Verdana" w:hAnsi="Verdana"/>
          <w:sz w:val="24"/>
          <w:szCs w:val="24"/>
        </w:rPr>
        <w:t>,</w:t>
      </w:r>
    </w:p>
    <w:p w14:paraId="5B984973" w14:textId="77777777" w:rsidR="007C588F" w:rsidRDefault="007C588F" w:rsidP="00AC63AD">
      <w:pPr>
        <w:rPr>
          <w:rFonts w:ascii="Verdana" w:hAnsi="Verdana"/>
          <w:sz w:val="24"/>
          <w:szCs w:val="24"/>
        </w:rPr>
      </w:pPr>
    </w:p>
    <w:p w14:paraId="2535DFE3" w14:textId="45835D1F" w:rsidR="00B63DE6" w:rsidRPr="00A66BDD" w:rsidRDefault="00B63DE6" w:rsidP="00AC63AD">
      <w:pPr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t xml:space="preserve">Laurie Davidson, </w:t>
      </w:r>
      <w:r w:rsidR="00DC3617" w:rsidRPr="00A66BDD">
        <w:rPr>
          <w:rFonts w:ascii="Verdana" w:hAnsi="Verdana"/>
          <w:sz w:val="24"/>
          <w:szCs w:val="24"/>
        </w:rPr>
        <w:t xml:space="preserve">directrice générale du </w:t>
      </w:r>
      <w:r w:rsidR="00BB3B8C" w:rsidRPr="00A66BDD">
        <w:rPr>
          <w:rFonts w:ascii="Verdana" w:hAnsi="Verdana"/>
          <w:sz w:val="24"/>
          <w:szCs w:val="24"/>
        </w:rPr>
        <w:t>CAÉB</w:t>
      </w:r>
    </w:p>
    <w:p w14:paraId="1ED75277" w14:textId="77777777" w:rsidR="007C588F" w:rsidRDefault="007C588F" w:rsidP="00AC63AD">
      <w:pPr>
        <w:rPr>
          <w:rFonts w:ascii="Verdana" w:hAnsi="Verdana"/>
          <w:sz w:val="24"/>
          <w:szCs w:val="24"/>
        </w:rPr>
      </w:pPr>
    </w:p>
    <w:p w14:paraId="5ECD0780" w14:textId="4181AFE1" w:rsidR="00647753" w:rsidRPr="00393FB2" w:rsidRDefault="00B63DE6">
      <w:pPr>
        <w:rPr>
          <w:rFonts w:ascii="Verdana" w:hAnsi="Verdana"/>
          <w:sz w:val="24"/>
          <w:szCs w:val="24"/>
        </w:rPr>
      </w:pPr>
      <w:r w:rsidRPr="00A66BDD">
        <w:rPr>
          <w:rFonts w:ascii="Verdana" w:hAnsi="Verdana"/>
          <w:sz w:val="24"/>
          <w:szCs w:val="24"/>
        </w:rPr>
        <w:lastRenderedPageBreak/>
        <w:t>Catherine Biss,</w:t>
      </w:r>
      <w:r w:rsidR="00DC3617" w:rsidRPr="00A66BDD">
        <w:rPr>
          <w:rFonts w:ascii="Verdana" w:hAnsi="Verdana"/>
          <w:sz w:val="24"/>
          <w:szCs w:val="24"/>
        </w:rPr>
        <w:t xml:space="preserve"> présidente du C.A. du</w:t>
      </w:r>
      <w:r w:rsidRPr="00A66BDD">
        <w:rPr>
          <w:rFonts w:ascii="Verdana" w:hAnsi="Verdana"/>
          <w:sz w:val="24"/>
          <w:szCs w:val="24"/>
        </w:rPr>
        <w:t xml:space="preserve"> </w:t>
      </w:r>
      <w:r w:rsidR="00BB3B8C" w:rsidRPr="00A66BDD">
        <w:rPr>
          <w:rFonts w:ascii="Verdana" w:hAnsi="Verdana"/>
          <w:sz w:val="24"/>
          <w:szCs w:val="24"/>
        </w:rPr>
        <w:t>CAÉB</w:t>
      </w:r>
    </w:p>
    <w:p w14:paraId="75E65C71" w14:textId="4EF81252" w:rsidR="00252F94" w:rsidRPr="00A66BDD" w:rsidRDefault="00DC3617" w:rsidP="00A67BB9">
      <w:pPr>
        <w:pStyle w:val="Heading1"/>
        <w:rPr>
          <w:rFonts w:ascii="Verdana" w:hAnsi="Verdana"/>
        </w:rPr>
      </w:pPr>
      <w:r w:rsidRPr="00A66BDD">
        <w:rPr>
          <w:rFonts w:ascii="Verdana" w:hAnsi="Verdana"/>
        </w:rPr>
        <w:t xml:space="preserve">Priorités stratégiques du CAÉB </w:t>
      </w:r>
      <w:r w:rsidR="007E2415" w:rsidRPr="00A66BDD">
        <w:rPr>
          <w:rFonts w:ascii="Verdana" w:hAnsi="Verdana"/>
        </w:rPr>
        <w:t>(</w:t>
      </w:r>
      <w:r w:rsidR="00B90C01" w:rsidRPr="00A66BDD">
        <w:rPr>
          <w:rFonts w:ascii="Verdana" w:hAnsi="Verdana"/>
        </w:rPr>
        <w:t>juillet</w:t>
      </w:r>
      <w:r w:rsidR="007E2415" w:rsidRPr="00A66BDD">
        <w:rPr>
          <w:rFonts w:ascii="Verdana" w:hAnsi="Verdana"/>
        </w:rPr>
        <w:t xml:space="preserve"> 2022 – </w:t>
      </w:r>
      <w:r w:rsidR="00F873F3">
        <w:rPr>
          <w:rFonts w:ascii="Verdana" w:hAnsi="Verdana"/>
        </w:rPr>
        <w:t>juin 2026</w:t>
      </w:r>
      <w:r w:rsidR="007E2415" w:rsidRPr="00A66BDD">
        <w:rPr>
          <w:rFonts w:ascii="Verdana" w:hAnsi="Verdana"/>
        </w:rPr>
        <w:t>)</w:t>
      </w:r>
    </w:p>
    <w:p w14:paraId="0CE05CDB" w14:textId="77777777" w:rsidR="00F551AA" w:rsidRPr="00A66BDD" w:rsidRDefault="00F551AA" w:rsidP="00F551AA"/>
    <w:p w14:paraId="16C03AFB" w14:textId="6D5629BC" w:rsidR="00770349" w:rsidRPr="00A66BDD" w:rsidRDefault="00B90C01" w:rsidP="00770349">
      <w:pPr>
        <w:pStyle w:val="Heading2"/>
        <w:rPr>
          <w:rFonts w:ascii="Verdana" w:hAnsi="Verdana"/>
        </w:rPr>
      </w:pPr>
      <w:r w:rsidRPr="00A66BDD">
        <w:rPr>
          <w:rFonts w:ascii="Verdana" w:hAnsi="Verdana"/>
        </w:rPr>
        <w:t xml:space="preserve">Tirer parti des avancées en matière de technologie numérique </w:t>
      </w:r>
    </w:p>
    <w:p w14:paraId="67A36787" w14:textId="42AE6D8A" w:rsidR="00770349" w:rsidRPr="00A66BDD" w:rsidRDefault="00B90C01" w:rsidP="00770349">
      <w:pPr>
        <w:pStyle w:val="ListParagraph"/>
        <w:numPr>
          <w:ilvl w:val="0"/>
          <w:numId w:val="14"/>
        </w:numPr>
        <w:rPr>
          <w:rFonts w:ascii="Verdana" w:hAnsi="Verdana"/>
        </w:rPr>
      </w:pPr>
      <w:r w:rsidRPr="00A66BDD">
        <w:rPr>
          <w:rFonts w:ascii="Verdana" w:hAnsi="Verdana"/>
        </w:rPr>
        <w:t>Améliorer sans cesse, notamment en faisant preuve d’innovation, l’expérience de lecture</w:t>
      </w:r>
      <w:r w:rsidR="00770349" w:rsidRPr="00A66BDD">
        <w:rPr>
          <w:rFonts w:ascii="Verdana" w:hAnsi="Verdana"/>
        </w:rPr>
        <w:t xml:space="preserve"> accessible</w:t>
      </w:r>
      <w:r w:rsidRPr="00A66BDD">
        <w:rPr>
          <w:rFonts w:ascii="Verdana" w:hAnsi="Verdana"/>
        </w:rPr>
        <w:t xml:space="preserve"> des abonnés, sur une variété d’appareils et de </w:t>
      </w:r>
      <w:r w:rsidR="00770349" w:rsidRPr="00A66BDD">
        <w:rPr>
          <w:rFonts w:ascii="Verdana" w:hAnsi="Verdana"/>
        </w:rPr>
        <w:t>plat</w:t>
      </w:r>
      <w:r w:rsidRPr="00A66BDD">
        <w:rPr>
          <w:rFonts w:ascii="Verdana" w:hAnsi="Verdana"/>
        </w:rPr>
        <w:t>e</w:t>
      </w:r>
      <w:r w:rsidR="00770349" w:rsidRPr="00A66BDD">
        <w:rPr>
          <w:rFonts w:ascii="Verdana" w:hAnsi="Verdana"/>
        </w:rPr>
        <w:t>form</w:t>
      </w:r>
      <w:r w:rsidRPr="00A66BDD">
        <w:rPr>
          <w:rFonts w:ascii="Verdana" w:hAnsi="Verdana"/>
        </w:rPr>
        <w:t>e</w:t>
      </w:r>
      <w:r w:rsidR="00770349" w:rsidRPr="00A66BDD">
        <w:rPr>
          <w:rFonts w:ascii="Verdana" w:hAnsi="Verdana"/>
        </w:rPr>
        <w:t>s</w:t>
      </w:r>
    </w:p>
    <w:p w14:paraId="02C796AA" w14:textId="754CC6C5" w:rsidR="00770349" w:rsidRPr="00A66BDD" w:rsidRDefault="00B90C01" w:rsidP="00770349">
      <w:pPr>
        <w:pStyle w:val="ListParagraph"/>
        <w:numPr>
          <w:ilvl w:val="0"/>
          <w:numId w:val="14"/>
        </w:numPr>
        <w:rPr>
          <w:rFonts w:ascii="Verdana" w:hAnsi="Verdana"/>
        </w:rPr>
      </w:pPr>
      <w:r w:rsidRPr="00A66BDD">
        <w:rPr>
          <w:rFonts w:ascii="Verdana" w:hAnsi="Verdana"/>
        </w:rPr>
        <w:t xml:space="preserve">Améliorer l’expérience de l’abonné en intégrant </w:t>
      </w:r>
      <w:r w:rsidR="00AD6C81" w:rsidRPr="00A66BDD">
        <w:rPr>
          <w:rFonts w:ascii="Verdana" w:hAnsi="Verdana"/>
        </w:rPr>
        <w:t>des principes de maniabilité et de conception</w:t>
      </w:r>
      <w:r w:rsidR="00770349" w:rsidRPr="00A66BDD">
        <w:rPr>
          <w:rFonts w:ascii="Verdana" w:hAnsi="Verdana"/>
        </w:rPr>
        <w:t xml:space="preserve"> accessible</w:t>
      </w:r>
      <w:r w:rsidR="00AD6C81" w:rsidRPr="00A66BDD">
        <w:rPr>
          <w:rFonts w:ascii="Verdana" w:hAnsi="Verdana"/>
        </w:rPr>
        <w:t xml:space="preserve"> dans tous les</w:t>
      </w:r>
      <w:r w:rsidR="00770349" w:rsidRPr="00A66BDD">
        <w:rPr>
          <w:rFonts w:ascii="Verdana" w:hAnsi="Verdana"/>
        </w:rPr>
        <w:t xml:space="preserve"> aspects</w:t>
      </w:r>
      <w:r w:rsidR="00AD6C81" w:rsidRPr="00A66BDD">
        <w:rPr>
          <w:rFonts w:ascii="Verdana" w:hAnsi="Verdana"/>
        </w:rPr>
        <w:t xml:space="preserve"> du</w:t>
      </w:r>
      <w:r w:rsidR="00770349" w:rsidRPr="00A66BDD">
        <w:rPr>
          <w:rFonts w:ascii="Verdana" w:hAnsi="Verdana"/>
        </w:rPr>
        <w:t xml:space="preserve"> service</w:t>
      </w:r>
    </w:p>
    <w:p w14:paraId="151D8E16" w14:textId="1750BCA9" w:rsidR="00770349" w:rsidRPr="00A66BDD" w:rsidRDefault="00AD6C81" w:rsidP="00B91E45">
      <w:pPr>
        <w:pStyle w:val="ListParagraph"/>
        <w:numPr>
          <w:ilvl w:val="0"/>
          <w:numId w:val="14"/>
        </w:numPr>
        <w:rPr>
          <w:rFonts w:ascii="Verdana" w:hAnsi="Verdana"/>
        </w:rPr>
      </w:pPr>
      <w:r w:rsidRPr="00A66BDD">
        <w:rPr>
          <w:rFonts w:ascii="Verdana" w:hAnsi="Verdana"/>
        </w:rPr>
        <w:t>Mettre l’accent sur la convivialité d’utilisation en facilitant la découverte des</w:t>
      </w:r>
      <w:r w:rsidR="00175D68" w:rsidRPr="00A66BDD">
        <w:rPr>
          <w:rFonts w:ascii="Verdana" w:hAnsi="Verdana"/>
        </w:rPr>
        <w:t xml:space="preserve"> tit</w:t>
      </w:r>
      <w:r w:rsidRPr="00A66BDD">
        <w:rPr>
          <w:rFonts w:ascii="Verdana" w:hAnsi="Verdana"/>
        </w:rPr>
        <w:t>r</w:t>
      </w:r>
      <w:r w:rsidR="00175D68" w:rsidRPr="00A66BDD">
        <w:rPr>
          <w:rFonts w:ascii="Verdana" w:hAnsi="Verdana"/>
        </w:rPr>
        <w:t>es</w:t>
      </w:r>
      <w:r w:rsidRPr="00A66BDD">
        <w:rPr>
          <w:rFonts w:ascii="Verdana" w:hAnsi="Verdana"/>
        </w:rPr>
        <w:t>, de la recherche à la livraison</w:t>
      </w:r>
      <w:r w:rsidR="00DC7E80" w:rsidRPr="00A66BDD">
        <w:rPr>
          <w:rFonts w:ascii="Verdana" w:hAnsi="Verdana"/>
        </w:rPr>
        <w:t xml:space="preserve"> </w:t>
      </w:r>
    </w:p>
    <w:p w14:paraId="29E09FA9" w14:textId="4B1B38FC" w:rsidR="00770349" w:rsidRPr="00A66BDD" w:rsidRDefault="00AD6C81" w:rsidP="00770349">
      <w:pPr>
        <w:pStyle w:val="Heading2"/>
        <w:rPr>
          <w:rFonts w:ascii="Verdana" w:hAnsi="Verdana"/>
        </w:rPr>
      </w:pPr>
      <w:r w:rsidRPr="00A66BDD">
        <w:rPr>
          <w:rFonts w:ascii="Verdana" w:hAnsi="Verdana"/>
        </w:rPr>
        <w:t>Développer une solide collection é</w:t>
      </w:r>
      <w:r w:rsidR="00770349" w:rsidRPr="00A66BDD">
        <w:rPr>
          <w:rFonts w:ascii="Verdana" w:hAnsi="Verdana"/>
        </w:rPr>
        <w:t xml:space="preserve">quitable </w:t>
      </w:r>
      <w:r w:rsidRPr="00A66BDD">
        <w:rPr>
          <w:rFonts w:ascii="Verdana" w:hAnsi="Verdana"/>
        </w:rPr>
        <w:t>et a</w:t>
      </w:r>
      <w:r w:rsidR="00770349" w:rsidRPr="00A66BDD">
        <w:rPr>
          <w:rFonts w:ascii="Verdana" w:hAnsi="Verdana"/>
        </w:rPr>
        <w:t>ccessible</w:t>
      </w:r>
      <w:r w:rsidRPr="00A66BDD">
        <w:rPr>
          <w:rFonts w:ascii="Verdana" w:hAnsi="Verdana"/>
        </w:rPr>
        <w:t>, privilégiant les choix de f</w:t>
      </w:r>
      <w:r w:rsidR="00770349" w:rsidRPr="00A66BDD">
        <w:rPr>
          <w:rFonts w:ascii="Verdana" w:hAnsi="Verdana"/>
        </w:rPr>
        <w:t xml:space="preserve">ormat </w:t>
      </w:r>
    </w:p>
    <w:p w14:paraId="2959DCAE" w14:textId="54252ED9" w:rsidR="00770349" w:rsidRPr="00A66BDD" w:rsidRDefault="008E6F79" w:rsidP="3D0E251C">
      <w:pPr>
        <w:pStyle w:val="ListParagraph"/>
        <w:numPr>
          <w:ilvl w:val="0"/>
          <w:numId w:val="13"/>
        </w:numPr>
        <w:rPr>
          <w:rFonts w:ascii="Verdana" w:eastAsiaTheme="minorEastAsia" w:hAnsi="Verdana"/>
        </w:rPr>
      </w:pPr>
      <w:r w:rsidRPr="00A66BDD">
        <w:rPr>
          <w:rFonts w:ascii="Verdana" w:hAnsi="Verdana"/>
        </w:rPr>
        <w:t>Rechercher des solutions communes et durables, fondées sur les systèmes, pour développer l’ampleur et la diversité de notre</w:t>
      </w:r>
      <w:r w:rsidR="5B9C05DB" w:rsidRPr="00A66BDD">
        <w:rPr>
          <w:rFonts w:ascii="Verdana" w:hAnsi="Verdana"/>
        </w:rPr>
        <w:t xml:space="preserve"> collection</w:t>
      </w:r>
      <w:r w:rsidRPr="00A66BDD">
        <w:rPr>
          <w:rFonts w:ascii="Verdana" w:hAnsi="Verdana"/>
        </w:rPr>
        <w:t xml:space="preserve"> en formats</w:t>
      </w:r>
      <w:r w:rsidR="00B75B55" w:rsidRPr="00A66BDD">
        <w:rPr>
          <w:rFonts w:ascii="Verdana" w:hAnsi="Verdana"/>
        </w:rPr>
        <w:t xml:space="preserve"> multiple</w:t>
      </w:r>
      <w:r w:rsidRPr="00A66BDD">
        <w:rPr>
          <w:rFonts w:ascii="Verdana" w:hAnsi="Verdana"/>
        </w:rPr>
        <w:t>s</w:t>
      </w:r>
      <w:r w:rsidR="00425385" w:rsidRPr="00A66BDD">
        <w:rPr>
          <w:rFonts w:ascii="Verdana" w:hAnsi="Verdana"/>
        </w:rPr>
        <w:t>,</w:t>
      </w:r>
      <w:r w:rsidRPr="00A66BDD">
        <w:rPr>
          <w:rFonts w:ascii="Verdana" w:hAnsi="Verdana"/>
        </w:rPr>
        <w:t xml:space="preserve"> y compris</w:t>
      </w:r>
      <w:r w:rsidR="00425385" w:rsidRPr="00A66BDD">
        <w:rPr>
          <w:rFonts w:ascii="Verdana" w:hAnsi="Verdana"/>
        </w:rPr>
        <w:t xml:space="preserve"> audio, braille </w:t>
      </w:r>
      <w:r w:rsidRPr="00A66BDD">
        <w:rPr>
          <w:rFonts w:ascii="Verdana" w:hAnsi="Verdana"/>
        </w:rPr>
        <w:t>et</w:t>
      </w:r>
      <w:r w:rsidR="00425385" w:rsidRPr="00A66BDD">
        <w:rPr>
          <w:rFonts w:ascii="Verdana" w:hAnsi="Verdana"/>
        </w:rPr>
        <w:t xml:space="preserve"> text</w:t>
      </w:r>
      <w:r w:rsidRPr="00A66BDD">
        <w:rPr>
          <w:rFonts w:ascii="Verdana" w:hAnsi="Verdana"/>
        </w:rPr>
        <w:t>e</w:t>
      </w:r>
      <w:r w:rsidR="00425385" w:rsidRPr="00A66BDD">
        <w:rPr>
          <w:rFonts w:ascii="Verdana" w:hAnsi="Verdana"/>
        </w:rPr>
        <w:t xml:space="preserve">, </w:t>
      </w:r>
      <w:proofErr w:type="gramStart"/>
      <w:r w:rsidRPr="00A66BDD">
        <w:rPr>
          <w:rFonts w:ascii="Verdana" w:hAnsi="Verdana"/>
        </w:rPr>
        <w:t>de manière à ce</w:t>
      </w:r>
      <w:proofErr w:type="gramEnd"/>
      <w:r w:rsidRPr="00A66BDD">
        <w:rPr>
          <w:rFonts w:ascii="Verdana" w:hAnsi="Verdana"/>
        </w:rPr>
        <w:t xml:space="preserve"> qu’elle reflète la </w:t>
      </w:r>
      <w:r w:rsidR="00425385" w:rsidRPr="00A66BDD">
        <w:rPr>
          <w:rFonts w:ascii="Verdana" w:hAnsi="Verdana"/>
        </w:rPr>
        <w:t>diversit</w:t>
      </w:r>
      <w:r w:rsidRPr="00A66BDD">
        <w:rPr>
          <w:rFonts w:ascii="Verdana" w:hAnsi="Verdana"/>
        </w:rPr>
        <w:t>é des communautés que nous desservons</w:t>
      </w:r>
    </w:p>
    <w:p w14:paraId="7773C138" w14:textId="2F0270C3" w:rsidR="00770349" w:rsidRPr="00A66BDD" w:rsidRDefault="008E6F79" w:rsidP="00770349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A66BDD">
        <w:rPr>
          <w:rFonts w:ascii="Verdana" w:hAnsi="Verdana"/>
        </w:rPr>
        <w:t>Développer nos partenariats de contenus avec les éditeurs, les distributeurs et les autres organisations du secteur</w:t>
      </w:r>
    </w:p>
    <w:p w14:paraId="6AB2D980" w14:textId="30FB7EF6" w:rsidR="00770349" w:rsidRPr="00A66BDD" w:rsidRDefault="008E6F79" w:rsidP="3D0E251C">
      <w:pPr>
        <w:pStyle w:val="ListParagraph"/>
        <w:numPr>
          <w:ilvl w:val="0"/>
          <w:numId w:val="13"/>
        </w:numPr>
        <w:rPr>
          <w:rFonts w:ascii="Verdana" w:eastAsiaTheme="minorEastAsia" w:hAnsi="Verdana"/>
        </w:rPr>
      </w:pPr>
      <w:r w:rsidRPr="00A66BDD">
        <w:rPr>
          <w:rFonts w:ascii="Verdana" w:hAnsi="Verdana"/>
        </w:rPr>
        <w:t>Développer nos accords d’échange, à l’échelle</w:t>
      </w:r>
      <w:r w:rsidR="17938196" w:rsidRPr="00A66BDD">
        <w:rPr>
          <w:rFonts w:ascii="Verdana" w:hAnsi="Verdana"/>
        </w:rPr>
        <w:t xml:space="preserve"> national</w:t>
      </w:r>
      <w:r w:rsidRPr="00A66BDD">
        <w:rPr>
          <w:rFonts w:ascii="Verdana" w:hAnsi="Verdana"/>
        </w:rPr>
        <w:t xml:space="preserve">e et </w:t>
      </w:r>
      <w:r w:rsidR="17938196" w:rsidRPr="00A66BDD">
        <w:rPr>
          <w:rFonts w:ascii="Verdana" w:hAnsi="Verdana"/>
        </w:rPr>
        <w:t>international</w:t>
      </w:r>
      <w:r w:rsidRPr="00A66BDD">
        <w:rPr>
          <w:rFonts w:ascii="Verdana" w:hAnsi="Verdana"/>
        </w:rPr>
        <w:t>e, afin d’élargir la portée des titres, des langues et des</w:t>
      </w:r>
      <w:r w:rsidR="1A4FAE5F" w:rsidRPr="00A66BDD">
        <w:rPr>
          <w:rFonts w:ascii="Verdana" w:hAnsi="Verdana"/>
        </w:rPr>
        <w:t xml:space="preserve"> formats</w:t>
      </w:r>
      <w:r w:rsidRPr="00A66BDD">
        <w:rPr>
          <w:rFonts w:ascii="Verdana" w:hAnsi="Verdana"/>
        </w:rPr>
        <w:t xml:space="preserve"> proposés aux lecteur</w:t>
      </w:r>
      <w:r w:rsidR="00A66BDD">
        <w:rPr>
          <w:rFonts w:ascii="Verdana" w:hAnsi="Verdana"/>
        </w:rPr>
        <w:t>s</w:t>
      </w:r>
      <w:r w:rsidRPr="00A66BDD">
        <w:rPr>
          <w:rFonts w:ascii="Verdana" w:hAnsi="Verdana"/>
        </w:rPr>
        <w:t xml:space="preserve"> du</w:t>
      </w:r>
      <w:r w:rsidR="00DC7E80" w:rsidRPr="00A66BDD">
        <w:rPr>
          <w:rFonts w:ascii="Verdana" w:hAnsi="Verdana"/>
        </w:rPr>
        <w:t xml:space="preserve"> Canada </w:t>
      </w:r>
      <w:r w:rsidRPr="00A66BDD">
        <w:rPr>
          <w:rFonts w:ascii="Verdana" w:hAnsi="Verdana"/>
        </w:rPr>
        <w:t>et de partout dans le monde</w:t>
      </w:r>
    </w:p>
    <w:p w14:paraId="15EE0061" w14:textId="2B7F69EB" w:rsidR="00770349" w:rsidRPr="00A66BDD" w:rsidRDefault="008E6F79" w:rsidP="3D0E251C">
      <w:pPr>
        <w:pStyle w:val="Heading2"/>
        <w:rPr>
          <w:rFonts w:ascii="Verdana" w:hAnsi="Verdana"/>
        </w:rPr>
      </w:pPr>
      <w:r w:rsidRPr="00A66BDD">
        <w:rPr>
          <w:rFonts w:ascii="Verdana" w:hAnsi="Verdana"/>
        </w:rPr>
        <w:t>Encourager l’e</w:t>
      </w:r>
      <w:r w:rsidR="61B3CD70" w:rsidRPr="00A66BDD">
        <w:rPr>
          <w:rFonts w:ascii="Verdana" w:hAnsi="Verdana"/>
        </w:rPr>
        <w:t>xcellence</w:t>
      </w:r>
      <w:r w:rsidRPr="00A66BDD">
        <w:rPr>
          <w:rFonts w:ascii="Verdana" w:hAnsi="Verdana"/>
        </w:rPr>
        <w:t xml:space="preserve"> en matière d’a</w:t>
      </w:r>
      <w:r w:rsidR="61B3CD70" w:rsidRPr="00A66BDD">
        <w:rPr>
          <w:rFonts w:ascii="Verdana" w:hAnsi="Verdana"/>
        </w:rPr>
        <w:t>ccessibilit</w:t>
      </w:r>
      <w:r w:rsidRPr="00A66BDD">
        <w:rPr>
          <w:rFonts w:ascii="Verdana" w:hAnsi="Verdana"/>
        </w:rPr>
        <w:t>é</w:t>
      </w:r>
    </w:p>
    <w:p w14:paraId="669135F8" w14:textId="50E04567" w:rsidR="00770349" w:rsidRPr="00A66BDD" w:rsidRDefault="008E6F79" w:rsidP="00770349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A66BDD">
        <w:rPr>
          <w:rFonts w:ascii="Verdana" w:hAnsi="Verdana"/>
        </w:rPr>
        <w:t>Améliorer le soutien apporté au personnel des</w:t>
      </w:r>
      <w:r w:rsidR="17938196" w:rsidRPr="00A66BDD">
        <w:rPr>
          <w:rFonts w:ascii="Verdana" w:hAnsi="Verdana"/>
        </w:rPr>
        <w:t xml:space="preserve"> </w:t>
      </w:r>
      <w:r w:rsidR="001D397B" w:rsidRPr="00A66BDD">
        <w:rPr>
          <w:rFonts w:ascii="Verdana" w:hAnsi="Verdana"/>
        </w:rPr>
        <w:t xml:space="preserve">bibliothèques </w:t>
      </w:r>
      <w:r w:rsidR="17938196" w:rsidRPr="00A66BDD">
        <w:rPr>
          <w:rFonts w:ascii="Verdana" w:hAnsi="Verdana"/>
        </w:rPr>
        <w:t>publi</w:t>
      </w:r>
      <w:r w:rsidRPr="00A66BDD">
        <w:rPr>
          <w:rFonts w:ascii="Verdana" w:hAnsi="Verdana"/>
        </w:rPr>
        <w:t>ques, afin de favoriser l’</w:t>
      </w:r>
      <w:r w:rsidR="17938196" w:rsidRPr="00A66BDD">
        <w:rPr>
          <w:rFonts w:ascii="Verdana" w:hAnsi="Verdana"/>
        </w:rPr>
        <w:t>accessibilit</w:t>
      </w:r>
      <w:r w:rsidRPr="00A66BDD">
        <w:rPr>
          <w:rFonts w:ascii="Verdana" w:hAnsi="Verdana"/>
        </w:rPr>
        <w:t>é dans toutes les facettes d</w:t>
      </w:r>
      <w:r w:rsidR="00531F85">
        <w:rPr>
          <w:rFonts w:ascii="Verdana" w:hAnsi="Verdana"/>
        </w:rPr>
        <w:t>u</w:t>
      </w:r>
      <w:r w:rsidR="17938196" w:rsidRPr="00A66BDD">
        <w:rPr>
          <w:rFonts w:ascii="Verdana" w:hAnsi="Verdana"/>
        </w:rPr>
        <w:t xml:space="preserve"> service</w:t>
      </w:r>
    </w:p>
    <w:p w14:paraId="72206023" w14:textId="5963FC38" w:rsidR="00770349" w:rsidRPr="00A66BDD" w:rsidRDefault="00121A89" w:rsidP="11AA050B">
      <w:pPr>
        <w:pStyle w:val="ListParagraph"/>
        <w:numPr>
          <w:ilvl w:val="0"/>
          <w:numId w:val="12"/>
        </w:numPr>
        <w:rPr>
          <w:rFonts w:ascii="Verdana" w:eastAsiaTheme="minorEastAsia" w:hAnsi="Verdana"/>
        </w:rPr>
      </w:pPr>
      <w:r w:rsidRPr="00A66BDD">
        <w:rPr>
          <w:rFonts w:ascii="Verdana" w:hAnsi="Verdana"/>
        </w:rPr>
        <w:t xml:space="preserve">Aider les </w:t>
      </w:r>
      <w:r w:rsidR="001D397B" w:rsidRPr="00A66BDD">
        <w:rPr>
          <w:rFonts w:ascii="Verdana" w:hAnsi="Verdana"/>
        </w:rPr>
        <w:t xml:space="preserve">bibliothèques </w:t>
      </w:r>
      <w:r w:rsidRPr="00A66BDD">
        <w:rPr>
          <w:rFonts w:ascii="Verdana" w:hAnsi="Verdana"/>
        </w:rPr>
        <w:t xml:space="preserve">publiques à mieux soutenir leur collectivité en proposant </w:t>
      </w:r>
      <w:r w:rsidR="008C0A84">
        <w:rPr>
          <w:rFonts w:ascii="Verdana" w:hAnsi="Verdana"/>
        </w:rPr>
        <w:t xml:space="preserve">directement </w:t>
      </w:r>
      <w:r w:rsidRPr="00A66BDD">
        <w:rPr>
          <w:rFonts w:ascii="Verdana" w:hAnsi="Verdana"/>
        </w:rPr>
        <w:t>des formations et du soutien aux employés de</w:t>
      </w:r>
      <w:r w:rsidR="5B9C05DB" w:rsidRPr="00A66BDD">
        <w:rPr>
          <w:rFonts w:ascii="Verdana" w:hAnsi="Verdana"/>
        </w:rPr>
        <w:t xml:space="preserve"> </w:t>
      </w:r>
      <w:r w:rsidR="001D397B" w:rsidRPr="00A66BDD">
        <w:rPr>
          <w:rFonts w:ascii="Verdana" w:hAnsi="Verdana"/>
        </w:rPr>
        <w:t>bibliothèque</w:t>
      </w:r>
      <w:r w:rsidRPr="00A66BDD">
        <w:rPr>
          <w:rFonts w:ascii="Verdana" w:hAnsi="Verdana"/>
        </w:rPr>
        <w:t xml:space="preserve"> et aux usagers incapables de lire les imprimés</w:t>
      </w:r>
    </w:p>
    <w:p w14:paraId="268E1D21" w14:textId="6A519B65" w:rsidR="00B63DE6" w:rsidRPr="00A66BDD" w:rsidRDefault="00121A89" w:rsidP="20059850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A66BDD">
        <w:rPr>
          <w:rFonts w:ascii="Verdana" w:hAnsi="Verdana"/>
        </w:rPr>
        <w:t>Sensibiliser la population à nos</w:t>
      </w:r>
      <w:r w:rsidR="00CA6A13" w:rsidRPr="00A66BDD">
        <w:rPr>
          <w:rFonts w:ascii="Verdana" w:hAnsi="Verdana"/>
        </w:rPr>
        <w:t xml:space="preserve"> services</w:t>
      </w:r>
      <w:r w:rsidRPr="00A66BDD">
        <w:rPr>
          <w:rFonts w:ascii="Verdana" w:hAnsi="Verdana"/>
        </w:rPr>
        <w:t xml:space="preserve"> en nous tournant davantage vers les personnes incapables de lire les imprimés, les enseignants et les autres professionnels du secteur</w:t>
      </w:r>
      <w:r w:rsidR="00B63DE6" w:rsidRPr="00A66BDD">
        <w:rPr>
          <w:rFonts w:ascii="Verdana" w:hAnsi="Verdana"/>
        </w:rPr>
        <w:t xml:space="preserve"> </w:t>
      </w:r>
    </w:p>
    <w:p w14:paraId="301C72BC" w14:textId="74C1D35F" w:rsidR="00770349" w:rsidRPr="00A66BDD" w:rsidRDefault="00121A89" w:rsidP="3D0E251C">
      <w:pPr>
        <w:pStyle w:val="Heading2"/>
        <w:rPr>
          <w:rFonts w:ascii="Verdana" w:eastAsia="Yu Gothic Light" w:hAnsi="Verdana" w:cs="Times New Roman"/>
        </w:rPr>
      </w:pPr>
      <w:r w:rsidRPr="00A66BDD">
        <w:rPr>
          <w:rFonts w:ascii="Verdana" w:hAnsi="Verdana"/>
        </w:rPr>
        <w:t>Renforcer nos relations avec les partenaires de l’écosystème de la lecture é</w:t>
      </w:r>
      <w:r w:rsidR="00770349" w:rsidRPr="00A66BDD">
        <w:rPr>
          <w:rFonts w:ascii="Verdana" w:hAnsi="Verdana"/>
        </w:rPr>
        <w:t>quitable</w:t>
      </w:r>
    </w:p>
    <w:p w14:paraId="4E6A686B" w14:textId="5458C9BA" w:rsidR="00770349" w:rsidRPr="00A66BDD" w:rsidRDefault="00770349" w:rsidP="00770349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A66BDD">
        <w:rPr>
          <w:rFonts w:ascii="Verdana" w:hAnsi="Verdana"/>
        </w:rPr>
        <w:t>Consult</w:t>
      </w:r>
      <w:r w:rsidR="00825744" w:rsidRPr="00A66BDD">
        <w:rPr>
          <w:rFonts w:ascii="Verdana" w:hAnsi="Verdana"/>
        </w:rPr>
        <w:t>er les personnes</w:t>
      </w:r>
      <w:r w:rsidR="001A4C3B" w:rsidRPr="00A66BDD">
        <w:rPr>
          <w:rFonts w:ascii="Verdana" w:hAnsi="Verdana"/>
        </w:rPr>
        <w:t xml:space="preserve"> ayant une expérience pratique du handicap, et tirer parti de leur expertise, notamment par une approche</w:t>
      </w:r>
      <w:r w:rsidR="00DC7E80" w:rsidRPr="00A66BDD">
        <w:rPr>
          <w:rFonts w:ascii="Verdana" w:hAnsi="Verdana"/>
        </w:rPr>
        <w:t xml:space="preserve"> intersection</w:t>
      </w:r>
      <w:r w:rsidR="001A4C3B" w:rsidRPr="00A66BDD">
        <w:rPr>
          <w:rFonts w:ascii="Verdana" w:hAnsi="Verdana"/>
        </w:rPr>
        <w:t>nelle</w:t>
      </w:r>
      <w:r w:rsidR="00DC7E80" w:rsidRPr="00A66BDD">
        <w:rPr>
          <w:rFonts w:ascii="Verdana" w:hAnsi="Verdana"/>
        </w:rPr>
        <w:t>,</w:t>
      </w:r>
      <w:r w:rsidR="001A4C3B" w:rsidRPr="00A66BDD">
        <w:rPr>
          <w:rFonts w:ascii="Verdana" w:hAnsi="Verdana"/>
        </w:rPr>
        <w:t xml:space="preserve"> afin de s’assurer d’offrir un service</w:t>
      </w:r>
      <w:r w:rsidR="00DC7E80" w:rsidRPr="00A66BDD">
        <w:rPr>
          <w:rFonts w:ascii="Verdana" w:hAnsi="Verdana"/>
        </w:rPr>
        <w:t xml:space="preserve"> inclusi</w:t>
      </w:r>
      <w:r w:rsidR="001A4C3B" w:rsidRPr="00A66BDD">
        <w:rPr>
          <w:rFonts w:ascii="Verdana" w:hAnsi="Verdana"/>
        </w:rPr>
        <w:t>f et é</w:t>
      </w:r>
      <w:r w:rsidR="00DC7E80" w:rsidRPr="00A66BDD">
        <w:rPr>
          <w:rFonts w:ascii="Verdana" w:hAnsi="Verdana"/>
        </w:rPr>
        <w:t>quitable</w:t>
      </w:r>
    </w:p>
    <w:p w14:paraId="6334ADB5" w14:textId="1566FBE3" w:rsidR="00770349" w:rsidRPr="00A66BDD" w:rsidRDefault="001A4C3B" w:rsidP="11AA050B">
      <w:pPr>
        <w:pStyle w:val="ListParagraph"/>
        <w:numPr>
          <w:ilvl w:val="0"/>
          <w:numId w:val="11"/>
        </w:numPr>
        <w:rPr>
          <w:rFonts w:ascii="Verdana" w:eastAsiaTheme="minorEastAsia" w:hAnsi="Verdana"/>
        </w:rPr>
      </w:pPr>
      <w:r w:rsidRPr="00A66BDD">
        <w:rPr>
          <w:rFonts w:ascii="Verdana" w:hAnsi="Verdana"/>
        </w:rPr>
        <w:t>Élargir et entretenir les partenariats avec les parties prenantes et les organisations de l’écosystème de la lecture é</w:t>
      </w:r>
      <w:r w:rsidR="17938196" w:rsidRPr="00A66BDD">
        <w:rPr>
          <w:rFonts w:ascii="Verdana" w:hAnsi="Verdana"/>
        </w:rPr>
        <w:t>quitable</w:t>
      </w:r>
      <w:r w:rsidR="08AA1011" w:rsidRPr="00A66BDD">
        <w:rPr>
          <w:rFonts w:ascii="Verdana" w:hAnsi="Verdana"/>
        </w:rPr>
        <w:t xml:space="preserve"> </w:t>
      </w:r>
    </w:p>
    <w:p w14:paraId="44F3DAA2" w14:textId="14EE1BFD" w:rsidR="61B3CD70" w:rsidRPr="00A66BDD" w:rsidRDefault="00CA6A13" w:rsidP="20059850">
      <w:pPr>
        <w:pStyle w:val="ListParagraph"/>
        <w:numPr>
          <w:ilvl w:val="0"/>
          <w:numId w:val="11"/>
        </w:numPr>
        <w:rPr>
          <w:rFonts w:ascii="Verdana" w:hAnsi="Verdana"/>
        </w:rPr>
      </w:pPr>
      <w:r w:rsidRPr="00A66BDD">
        <w:rPr>
          <w:rFonts w:ascii="Verdana" w:hAnsi="Verdana"/>
        </w:rPr>
        <w:t>Collabor</w:t>
      </w:r>
      <w:r w:rsidR="001A4C3B" w:rsidRPr="00A66BDD">
        <w:rPr>
          <w:rFonts w:ascii="Verdana" w:hAnsi="Verdana"/>
        </w:rPr>
        <w:t>er avec les partenaires à la création d’une vision nationale durable en matière d’accès équitable à la lecture</w:t>
      </w:r>
    </w:p>
    <w:p w14:paraId="2B814958" w14:textId="2CC49A06" w:rsidR="00770349" w:rsidRPr="00A66BDD" w:rsidRDefault="00825744" w:rsidP="00770349">
      <w:pPr>
        <w:pStyle w:val="Heading2"/>
        <w:rPr>
          <w:rFonts w:ascii="Verdana" w:hAnsi="Verdana"/>
        </w:rPr>
      </w:pPr>
      <w:r w:rsidRPr="00A66BDD">
        <w:rPr>
          <w:rFonts w:ascii="Verdana" w:hAnsi="Verdana"/>
        </w:rPr>
        <w:lastRenderedPageBreak/>
        <w:t>Créer une organisation i</w:t>
      </w:r>
      <w:r w:rsidR="00770349" w:rsidRPr="00A66BDD">
        <w:rPr>
          <w:rFonts w:ascii="Verdana" w:hAnsi="Verdana"/>
        </w:rPr>
        <w:t>nclusive</w:t>
      </w:r>
      <w:r w:rsidRPr="00A66BDD">
        <w:rPr>
          <w:rFonts w:ascii="Verdana" w:hAnsi="Verdana"/>
        </w:rPr>
        <w:t xml:space="preserve"> et diversifiée</w:t>
      </w:r>
    </w:p>
    <w:p w14:paraId="7CADABF2" w14:textId="172EC0DA" w:rsidR="00770349" w:rsidRPr="00A66BDD" w:rsidRDefault="00B63DE6" w:rsidP="001632F9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A66BDD">
        <w:rPr>
          <w:rFonts w:ascii="Verdana" w:hAnsi="Verdana"/>
        </w:rPr>
        <w:t>Int</w:t>
      </w:r>
      <w:r w:rsidR="001632F9" w:rsidRPr="00A66BDD">
        <w:rPr>
          <w:rFonts w:ascii="Verdana" w:hAnsi="Verdana"/>
        </w:rPr>
        <w:t>égrer l’</w:t>
      </w:r>
      <w:r w:rsidRPr="00A66BDD">
        <w:rPr>
          <w:rFonts w:ascii="Verdana" w:hAnsi="Verdana"/>
        </w:rPr>
        <w:t>inclusion,</w:t>
      </w:r>
      <w:r w:rsidR="00770349" w:rsidRPr="00A66BDD">
        <w:rPr>
          <w:rFonts w:ascii="Verdana" w:hAnsi="Verdana"/>
        </w:rPr>
        <w:t xml:space="preserve"> </w:t>
      </w:r>
      <w:r w:rsidR="001632F9" w:rsidRPr="00A66BDD">
        <w:rPr>
          <w:rFonts w:ascii="Verdana" w:hAnsi="Verdana"/>
        </w:rPr>
        <w:t xml:space="preserve">la </w:t>
      </w:r>
      <w:r w:rsidR="00770349" w:rsidRPr="00A66BDD">
        <w:rPr>
          <w:rFonts w:ascii="Verdana" w:hAnsi="Verdana"/>
        </w:rPr>
        <w:t>diversit</w:t>
      </w:r>
      <w:r w:rsidR="001632F9" w:rsidRPr="00A66BDD">
        <w:rPr>
          <w:rFonts w:ascii="Verdana" w:hAnsi="Verdana"/>
        </w:rPr>
        <w:t>é</w:t>
      </w:r>
      <w:r w:rsidR="00770349" w:rsidRPr="00A66BDD">
        <w:rPr>
          <w:rFonts w:ascii="Verdana" w:hAnsi="Verdana"/>
        </w:rPr>
        <w:t>,</w:t>
      </w:r>
      <w:r w:rsidR="001632F9" w:rsidRPr="00A66BDD">
        <w:rPr>
          <w:rFonts w:ascii="Verdana" w:hAnsi="Verdana"/>
        </w:rPr>
        <w:t xml:space="preserve"> l’é</w:t>
      </w:r>
      <w:r w:rsidR="00770349" w:rsidRPr="00A66BDD">
        <w:rPr>
          <w:rFonts w:ascii="Verdana" w:hAnsi="Verdana"/>
        </w:rPr>
        <w:t>quit</w:t>
      </w:r>
      <w:r w:rsidR="001632F9" w:rsidRPr="00A66BDD">
        <w:rPr>
          <w:rFonts w:ascii="Verdana" w:hAnsi="Verdana"/>
        </w:rPr>
        <w:t>é et l’</w:t>
      </w:r>
      <w:r w:rsidRPr="00A66BDD">
        <w:rPr>
          <w:rFonts w:ascii="Verdana" w:hAnsi="Verdana"/>
        </w:rPr>
        <w:t>accessibilit</w:t>
      </w:r>
      <w:r w:rsidR="001632F9" w:rsidRPr="00A66BDD">
        <w:rPr>
          <w:rFonts w:ascii="Verdana" w:hAnsi="Verdana"/>
        </w:rPr>
        <w:t>é dans toutes les sphères de l’</w:t>
      </w:r>
      <w:r w:rsidR="00770349" w:rsidRPr="00A66BDD">
        <w:rPr>
          <w:rFonts w:ascii="Verdana" w:hAnsi="Verdana"/>
        </w:rPr>
        <w:t>organi</w:t>
      </w:r>
      <w:r w:rsidR="001632F9" w:rsidRPr="00A66BDD">
        <w:rPr>
          <w:rFonts w:ascii="Verdana" w:hAnsi="Verdana"/>
        </w:rPr>
        <w:t>s</w:t>
      </w:r>
      <w:r w:rsidR="00770349" w:rsidRPr="00A66BDD">
        <w:rPr>
          <w:rFonts w:ascii="Verdana" w:hAnsi="Verdana"/>
        </w:rPr>
        <w:t>ation</w:t>
      </w:r>
      <w:r w:rsidRPr="00A66BDD">
        <w:rPr>
          <w:rFonts w:ascii="Verdana" w:hAnsi="Verdana"/>
        </w:rPr>
        <w:t>,</w:t>
      </w:r>
      <w:r w:rsidR="001632F9" w:rsidRPr="00A66BDD">
        <w:rPr>
          <w:rFonts w:ascii="Verdana" w:hAnsi="Verdana"/>
        </w:rPr>
        <w:t xml:space="preserve"> tant à l’interne qu’à l’externe</w:t>
      </w:r>
    </w:p>
    <w:p w14:paraId="5E7085A5" w14:textId="294054C9" w:rsidR="00770349" w:rsidRPr="00A66BDD" w:rsidRDefault="001632F9" w:rsidP="00770349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A66BDD">
        <w:rPr>
          <w:rFonts w:ascii="Verdana" w:hAnsi="Verdana"/>
        </w:rPr>
        <w:t>Entretenir et valoriser des relations respectueuses avec les</w:t>
      </w:r>
      <w:r w:rsidR="00AE6793" w:rsidRPr="00A66BDD">
        <w:rPr>
          <w:rFonts w:ascii="Verdana" w:hAnsi="Verdana"/>
        </w:rPr>
        <w:t xml:space="preserve"> représentants des peuples autochtones, par le biais</w:t>
      </w:r>
      <w:r w:rsidR="006B71F9" w:rsidRPr="00A66BDD">
        <w:rPr>
          <w:rFonts w:ascii="Verdana" w:hAnsi="Verdana"/>
        </w:rPr>
        <w:t xml:space="preserve"> de témoignages de vérité et de ré</w:t>
      </w:r>
      <w:r w:rsidR="00B63DE6" w:rsidRPr="00A66BDD">
        <w:rPr>
          <w:rFonts w:ascii="Verdana" w:hAnsi="Verdana"/>
        </w:rPr>
        <w:t>conciliation</w:t>
      </w:r>
    </w:p>
    <w:p w14:paraId="36F5DA76" w14:textId="7A7787EB" w:rsidR="008D0E05" w:rsidRPr="00A66BDD" w:rsidRDefault="008D0E05" w:rsidP="003A004E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A66BDD">
        <w:rPr>
          <w:rFonts w:ascii="Verdana" w:hAnsi="Verdana"/>
        </w:rPr>
        <w:t>Invest</w:t>
      </w:r>
      <w:r w:rsidR="006B71F9" w:rsidRPr="00A66BDD">
        <w:rPr>
          <w:rFonts w:ascii="Verdana" w:hAnsi="Verdana"/>
        </w:rPr>
        <w:t xml:space="preserve">ir dans notre personnel afin d’offrir un service d’exception et une </w:t>
      </w:r>
      <w:r w:rsidR="5B9C05DB" w:rsidRPr="00A66BDD">
        <w:rPr>
          <w:rFonts w:ascii="Verdana" w:hAnsi="Verdana"/>
        </w:rPr>
        <w:t xml:space="preserve">expertise </w:t>
      </w:r>
      <w:r w:rsidR="006B71F9" w:rsidRPr="00A66BDD">
        <w:rPr>
          <w:rFonts w:ascii="Verdana" w:hAnsi="Verdana"/>
        </w:rPr>
        <w:t>en matière de services de lecture</w:t>
      </w:r>
      <w:r w:rsidR="5B9C05DB" w:rsidRPr="00A66BDD">
        <w:rPr>
          <w:rFonts w:ascii="Verdana" w:hAnsi="Verdana"/>
        </w:rPr>
        <w:t xml:space="preserve"> accessible</w:t>
      </w:r>
    </w:p>
    <w:sectPr w:rsidR="008D0E05" w:rsidRPr="00A66BDD" w:rsidSect="00F551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7C792" w14:textId="77777777" w:rsidR="00A23036" w:rsidRDefault="00A23036">
      <w:pPr>
        <w:spacing w:after="0" w:line="240" w:lineRule="auto"/>
      </w:pPr>
      <w:r>
        <w:separator/>
      </w:r>
    </w:p>
  </w:endnote>
  <w:endnote w:type="continuationSeparator" w:id="0">
    <w:p w14:paraId="63917658" w14:textId="77777777" w:rsidR="00A23036" w:rsidRDefault="00A23036">
      <w:pPr>
        <w:spacing w:after="0" w:line="240" w:lineRule="auto"/>
      </w:pPr>
      <w:r>
        <w:continuationSeparator/>
      </w:r>
    </w:p>
  </w:endnote>
  <w:endnote w:type="continuationNotice" w:id="1">
    <w:p w14:paraId="6D647532" w14:textId="77777777" w:rsidR="00A23036" w:rsidRDefault="00A23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EC77" w14:textId="77777777" w:rsidR="00A66BDD" w:rsidRDefault="00A66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2849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8A25D" w14:textId="387D5105" w:rsidR="006C73BA" w:rsidRDefault="00BB3B8C">
        <w:pPr>
          <w:pStyle w:val="Footer"/>
        </w:pPr>
        <w:r>
          <w:t>Priorités stratégiques du CAÉB</w:t>
        </w:r>
        <w:r w:rsidR="00B63DE6">
          <w:t xml:space="preserve"> </w:t>
        </w:r>
        <w:r w:rsidR="006C73BA">
          <w:t xml:space="preserve">– </w:t>
        </w:r>
        <w:r w:rsidR="00FE3CF1">
          <w:t>Ju</w:t>
        </w:r>
        <w:r>
          <w:t>i</w:t>
        </w:r>
        <w:r w:rsidR="00FE3CF1">
          <w:t>n</w:t>
        </w:r>
        <w:r w:rsidR="006C73BA">
          <w:t xml:space="preserve"> 2022</w:t>
        </w:r>
        <w:r w:rsidR="006C73BA">
          <w:tab/>
        </w:r>
        <w:r w:rsidR="006C73BA">
          <w:tab/>
        </w:r>
        <w:r w:rsidR="006C73BA">
          <w:fldChar w:fldCharType="begin"/>
        </w:r>
        <w:r w:rsidR="006C73BA">
          <w:instrText xml:space="preserve"> PAGE   \* MERGEFORMAT </w:instrText>
        </w:r>
        <w:r w:rsidR="006C73BA">
          <w:fldChar w:fldCharType="separate"/>
        </w:r>
        <w:r w:rsidR="006C73BA">
          <w:rPr>
            <w:noProof/>
          </w:rPr>
          <w:t>2</w:t>
        </w:r>
        <w:r w:rsidR="006C73BA">
          <w:rPr>
            <w:noProof/>
          </w:rPr>
          <w:fldChar w:fldCharType="end"/>
        </w:r>
      </w:p>
    </w:sdtContent>
  </w:sdt>
  <w:p w14:paraId="4B8D62A5" w14:textId="05428BBB" w:rsidR="3F0B4CC7" w:rsidRDefault="3F0B4CC7" w:rsidP="3F0B4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9DAD8" w14:textId="77777777" w:rsidR="00A66BDD" w:rsidRDefault="00A66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88123" w14:textId="77777777" w:rsidR="00A23036" w:rsidRDefault="00A23036">
      <w:pPr>
        <w:spacing w:after="0" w:line="240" w:lineRule="auto"/>
      </w:pPr>
      <w:r>
        <w:separator/>
      </w:r>
    </w:p>
  </w:footnote>
  <w:footnote w:type="continuationSeparator" w:id="0">
    <w:p w14:paraId="31B5FE45" w14:textId="77777777" w:rsidR="00A23036" w:rsidRDefault="00A23036">
      <w:pPr>
        <w:spacing w:after="0" w:line="240" w:lineRule="auto"/>
      </w:pPr>
      <w:r>
        <w:continuationSeparator/>
      </w:r>
    </w:p>
  </w:footnote>
  <w:footnote w:type="continuationNotice" w:id="1">
    <w:p w14:paraId="463E20F5" w14:textId="77777777" w:rsidR="00A23036" w:rsidRDefault="00A230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255A" w14:textId="77777777" w:rsidR="00A66BDD" w:rsidRDefault="00A66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6106" w14:textId="77777777" w:rsidR="00A66BDD" w:rsidRDefault="00A66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6863" w14:textId="77777777" w:rsidR="00A66BDD" w:rsidRDefault="00A66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6041"/>
    <w:multiLevelType w:val="hybridMultilevel"/>
    <w:tmpl w:val="C89A37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693"/>
    <w:multiLevelType w:val="hybridMultilevel"/>
    <w:tmpl w:val="22D80B9E"/>
    <w:lvl w:ilvl="0" w:tplc="8B105EB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60D39"/>
    <w:multiLevelType w:val="hybridMultilevel"/>
    <w:tmpl w:val="D7AA2552"/>
    <w:lvl w:ilvl="0" w:tplc="8B105E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020"/>
    <w:multiLevelType w:val="multilevel"/>
    <w:tmpl w:val="157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315B91"/>
    <w:multiLevelType w:val="multilevel"/>
    <w:tmpl w:val="1E78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F0CE4"/>
    <w:multiLevelType w:val="hybridMultilevel"/>
    <w:tmpl w:val="6C0A3036"/>
    <w:lvl w:ilvl="0" w:tplc="8B105E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3736B"/>
    <w:multiLevelType w:val="hybridMultilevel"/>
    <w:tmpl w:val="53347BE0"/>
    <w:lvl w:ilvl="0" w:tplc="8B105EB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06488"/>
    <w:multiLevelType w:val="hybridMultilevel"/>
    <w:tmpl w:val="3DC895E2"/>
    <w:lvl w:ilvl="0" w:tplc="8B105E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1561B"/>
    <w:multiLevelType w:val="hybridMultilevel"/>
    <w:tmpl w:val="29029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7125B"/>
    <w:multiLevelType w:val="multilevel"/>
    <w:tmpl w:val="D5FA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D41397"/>
    <w:multiLevelType w:val="multilevel"/>
    <w:tmpl w:val="6B12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AF2DAC"/>
    <w:multiLevelType w:val="hybridMultilevel"/>
    <w:tmpl w:val="B8AE7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809F4"/>
    <w:multiLevelType w:val="hybridMultilevel"/>
    <w:tmpl w:val="C77C6AC2"/>
    <w:lvl w:ilvl="0" w:tplc="8C4A6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6444D"/>
    <w:multiLevelType w:val="hybridMultilevel"/>
    <w:tmpl w:val="06624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15904"/>
    <w:multiLevelType w:val="multilevel"/>
    <w:tmpl w:val="4DEA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46308E"/>
    <w:multiLevelType w:val="multilevel"/>
    <w:tmpl w:val="0AA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695E31"/>
    <w:multiLevelType w:val="hybridMultilevel"/>
    <w:tmpl w:val="B5868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1760D"/>
    <w:multiLevelType w:val="multilevel"/>
    <w:tmpl w:val="481C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BC11F4"/>
    <w:multiLevelType w:val="hybridMultilevel"/>
    <w:tmpl w:val="453A1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2C"/>
    <w:multiLevelType w:val="hybridMultilevel"/>
    <w:tmpl w:val="0D0E34BC"/>
    <w:lvl w:ilvl="0" w:tplc="8B105E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D5106"/>
    <w:multiLevelType w:val="hybridMultilevel"/>
    <w:tmpl w:val="28F0F8B0"/>
    <w:lvl w:ilvl="0" w:tplc="8B105E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843E9"/>
    <w:multiLevelType w:val="hybridMultilevel"/>
    <w:tmpl w:val="23E68234"/>
    <w:lvl w:ilvl="0" w:tplc="975AE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C7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60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9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EC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89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AF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24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CD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A1402"/>
    <w:multiLevelType w:val="hybridMultilevel"/>
    <w:tmpl w:val="8E968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6913"/>
    <w:multiLevelType w:val="hybridMultilevel"/>
    <w:tmpl w:val="7F80D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23115">
    <w:abstractNumId w:val="21"/>
  </w:num>
  <w:num w:numId="2" w16cid:durableId="852039275">
    <w:abstractNumId w:val="0"/>
  </w:num>
  <w:num w:numId="3" w16cid:durableId="544829689">
    <w:abstractNumId w:val="7"/>
  </w:num>
  <w:num w:numId="4" w16cid:durableId="440295730">
    <w:abstractNumId w:val="2"/>
  </w:num>
  <w:num w:numId="5" w16cid:durableId="210505109">
    <w:abstractNumId w:val="20"/>
  </w:num>
  <w:num w:numId="6" w16cid:durableId="448087132">
    <w:abstractNumId w:val="19"/>
  </w:num>
  <w:num w:numId="7" w16cid:durableId="1663241916">
    <w:abstractNumId w:val="5"/>
  </w:num>
  <w:num w:numId="8" w16cid:durableId="744566442">
    <w:abstractNumId w:val="1"/>
  </w:num>
  <w:num w:numId="9" w16cid:durableId="763309052">
    <w:abstractNumId w:val="6"/>
  </w:num>
  <w:num w:numId="10" w16cid:durableId="1934893700">
    <w:abstractNumId w:val="11"/>
  </w:num>
  <w:num w:numId="11" w16cid:durableId="621351922">
    <w:abstractNumId w:val="22"/>
  </w:num>
  <w:num w:numId="12" w16cid:durableId="795947702">
    <w:abstractNumId w:val="23"/>
  </w:num>
  <w:num w:numId="13" w16cid:durableId="2051708">
    <w:abstractNumId w:val="13"/>
  </w:num>
  <w:num w:numId="14" w16cid:durableId="748967301">
    <w:abstractNumId w:val="18"/>
  </w:num>
  <w:num w:numId="15" w16cid:durableId="839932196">
    <w:abstractNumId w:val="12"/>
  </w:num>
  <w:num w:numId="16" w16cid:durableId="2105416113">
    <w:abstractNumId w:val="16"/>
  </w:num>
  <w:num w:numId="17" w16cid:durableId="1240866314">
    <w:abstractNumId w:val="8"/>
  </w:num>
  <w:num w:numId="18" w16cid:durableId="1924877754">
    <w:abstractNumId w:val="4"/>
  </w:num>
  <w:num w:numId="19" w16cid:durableId="2035836817">
    <w:abstractNumId w:val="9"/>
  </w:num>
  <w:num w:numId="20" w16cid:durableId="1544562614">
    <w:abstractNumId w:val="14"/>
  </w:num>
  <w:num w:numId="21" w16cid:durableId="1218056088">
    <w:abstractNumId w:val="3"/>
  </w:num>
  <w:num w:numId="22" w16cid:durableId="1384326092">
    <w:abstractNumId w:val="10"/>
  </w:num>
  <w:num w:numId="23" w16cid:durableId="100809664">
    <w:abstractNumId w:val="15"/>
  </w:num>
  <w:num w:numId="24" w16cid:durableId="1502115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49"/>
    <w:rsid w:val="00006B1D"/>
    <w:rsid w:val="00025DDB"/>
    <w:rsid w:val="000260E1"/>
    <w:rsid w:val="000405B1"/>
    <w:rsid w:val="00041666"/>
    <w:rsid w:val="00041BC2"/>
    <w:rsid w:val="00047F3E"/>
    <w:rsid w:val="000552C2"/>
    <w:rsid w:val="000827D0"/>
    <w:rsid w:val="00091EB9"/>
    <w:rsid w:val="00092675"/>
    <w:rsid w:val="000A141E"/>
    <w:rsid w:val="000A1577"/>
    <w:rsid w:val="000A5CC5"/>
    <w:rsid w:val="000C6C5B"/>
    <w:rsid w:val="000CA990"/>
    <w:rsid w:val="000D5606"/>
    <w:rsid w:val="000E44E0"/>
    <w:rsid w:val="001041DC"/>
    <w:rsid w:val="001070E3"/>
    <w:rsid w:val="00110EF9"/>
    <w:rsid w:val="00117133"/>
    <w:rsid w:val="00121A89"/>
    <w:rsid w:val="001306FA"/>
    <w:rsid w:val="00135295"/>
    <w:rsid w:val="00137851"/>
    <w:rsid w:val="001632F9"/>
    <w:rsid w:val="00173B06"/>
    <w:rsid w:val="00175D68"/>
    <w:rsid w:val="0017710E"/>
    <w:rsid w:val="00182D20"/>
    <w:rsid w:val="00185E88"/>
    <w:rsid w:val="001A09F7"/>
    <w:rsid w:val="001A25D3"/>
    <w:rsid w:val="001A4454"/>
    <w:rsid w:val="001A4C3B"/>
    <w:rsid w:val="001B798B"/>
    <w:rsid w:val="001C0AA9"/>
    <w:rsid w:val="001C5C8C"/>
    <w:rsid w:val="001D0CD7"/>
    <w:rsid w:val="001D397B"/>
    <w:rsid w:val="002201A6"/>
    <w:rsid w:val="002260D9"/>
    <w:rsid w:val="00227290"/>
    <w:rsid w:val="00250EB8"/>
    <w:rsid w:val="00252F94"/>
    <w:rsid w:val="0025703A"/>
    <w:rsid w:val="002702B6"/>
    <w:rsid w:val="00272CC7"/>
    <w:rsid w:val="002730ED"/>
    <w:rsid w:val="00275698"/>
    <w:rsid w:val="00283263"/>
    <w:rsid w:val="002838CE"/>
    <w:rsid w:val="00297DFB"/>
    <w:rsid w:val="002C3262"/>
    <w:rsid w:val="002D636B"/>
    <w:rsid w:val="002E0541"/>
    <w:rsid w:val="002E269C"/>
    <w:rsid w:val="0030534F"/>
    <w:rsid w:val="003137FE"/>
    <w:rsid w:val="00352812"/>
    <w:rsid w:val="003556A7"/>
    <w:rsid w:val="00361055"/>
    <w:rsid w:val="003747C1"/>
    <w:rsid w:val="00374C04"/>
    <w:rsid w:val="003928D1"/>
    <w:rsid w:val="00393FB2"/>
    <w:rsid w:val="003A004E"/>
    <w:rsid w:val="003B4D69"/>
    <w:rsid w:val="003C2E95"/>
    <w:rsid w:val="003D099D"/>
    <w:rsid w:val="003D685F"/>
    <w:rsid w:val="004019FB"/>
    <w:rsid w:val="00402178"/>
    <w:rsid w:val="004027B4"/>
    <w:rsid w:val="00421627"/>
    <w:rsid w:val="00424926"/>
    <w:rsid w:val="00425385"/>
    <w:rsid w:val="004253DB"/>
    <w:rsid w:val="0043477B"/>
    <w:rsid w:val="004372C2"/>
    <w:rsid w:val="00440EC8"/>
    <w:rsid w:val="00462980"/>
    <w:rsid w:val="0047046B"/>
    <w:rsid w:val="004A3BDE"/>
    <w:rsid w:val="004A7BC3"/>
    <w:rsid w:val="004C1B0B"/>
    <w:rsid w:val="004C3ADB"/>
    <w:rsid w:val="004C767A"/>
    <w:rsid w:val="004D313D"/>
    <w:rsid w:val="004E3CA5"/>
    <w:rsid w:val="00504D31"/>
    <w:rsid w:val="005163C1"/>
    <w:rsid w:val="00531F85"/>
    <w:rsid w:val="005436DA"/>
    <w:rsid w:val="0055609A"/>
    <w:rsid w:val="00556673"/>
    <w:rsid w:val="00556E00"/>
    <w:rsid w:val="00561484"/>
    <w:rsid w:val="00562EDE"/>
    <w:rsid w:val="00573619"/>
    <w:rsid w:val="005744B1"/>
    <w:rsid w:val="005A2D1D"/>
    <w:rsid w:val="005A32C6"/>
    <w:rsid w:val="005A493C"/>
    <w:rsid w:val="005B0057"/>
    <w:rsid w:val="005B2D81"/>
    <w:rsid w:val="005E1A9A"/>
    <w:rsid w:val="005F3DAC"/>
    <w:rsid w:val="005F4B92"/>
    <w:rsid w:val="006123CF"/>
    <w:rsid w:val="00615D63"/>
    <w:rsid w:val="006427FC"/>
    <w:rsid w:val="00643C0A"/>
    <w:rsid w:val="00647753"/>
    <w:rsid w:val="0066428F"/>
    <w:rsid w:val="00682CCA"/>
    <w:rsid w:val="00693416"/>
    <w:rsid w:val="006B1641"/>
    <w:rsid w:val="006B5BB3"/>
    <w:rsid w:val="006B71F9"/>
    <w:rsid w:val="006C4079"/>
    <w:rsid w:val="006C73BA"/>
    <w:rsid w:val="006E4184"/>
    <w:rsid w:val="006E6652"/>
    <w:rsid w:val="00714040"/>
    <w:rsid w:val="00720350"/>
    <w:rsid w:val="007221CF"/>
    <w:rsid w:val="00744D9B"/>
    <w:rsid w:val="0075112A"/>
    <w:rsid w:val="00770349"/>
    <w:rsid w:val="0077827D"/>
    <w:rsid w:val="007977D0"/>
    <w:rsid w:val="007A22FE"/>
    <w:rsid w:val="007C588F"/>
    <w:rsid w:val="007D0583"/>
    <w:rsid w:val="007D3E2C"/>
    <w:rsid w:val="007E2415"/>
    <w:rsid w:val="007F7B7C"/>
    <w:rsid w:val="00825744"/>
    <w:rsid w:val="008260EB"/>
    <w:rsid w:val="0083069F"/>
    <w:rsid w:val="0085132A"/>
    <w:rsid w:val="0086536A"/>
    <w:rsid w:val="0086603E"/>
    <w:rsid w:val="008B4D66"/>
    <w:rsid w:val="008C0A84"/>
    <w:rsid w:val="008D0E05"/>
    <w:rsid w:val="008D45E3"/>
    <w:rsid w:val="008E6F79"/>
    <w:rsid w:val="008F4AFB"/>
    <w:rsid w:val="00903B8E"/>
    <w:rsid w:val="009170FD"/>
    <w:rsid w:val="009306F2"/>
    <w:rsid w:val="00936AE8"/>
    <w:rsid w:val="00944350"/>
    <w:rsid w:val="00944A3D"/>
    <w:rsid w:val="00951D94"/>
    <w:rsid w:val="00980204"/>
    <w:rsid w:val="009901A4"/>
    <w:rsid w:val="00991769"/>
    <w:rsid w:val="009A3468"/>
    <w:rsid w:val="009B7B44"/>
    <w:rsid w:val="00A015AF"/>
    <w:rsid w:val="00A073F3"/>
    <w:rsid w:val="00A07EA2"/>
    <w:rsid w:val="00A23036"/>
    <w:rsid w:val="00A27834"/>
    <w:rsid w:val="00A47C00"/>
    <w:rsid w:val="00A66BDD"/>
    <w:rsid w:val="00A67BB9"/>
    <w:rsid w:val="00A92199"/>
    <w:rsid w:val="00A96714"/>
    <w:rsid w:val="00AA6A0B"/>
    <w:rsid w:val="00AC63AD"/>
    <w:rsid w:val="00AD6C81"/>
    <w:rsid w:val="00AE6793"/>
    <w:rsid w:val="00AF6600"/>
    <w:rsid w:val="00B10113"/>
    <w:rsid w:val="00B37A17"/>
    <w:rsid w:val="00B4643A"/>
    <w:rsid w:val="00B63DE6"/>
    <w:rsid w:val="00B7571A"/>
    <w:rsid w:val="00B75B55"/>
    <w:rsid w:val="00B804D4"/>
    <w:rsid w:val="00B90C01"/>
    <w:rsid w:val="00B91E45"/>
    <w:rsid w:val="00B923E9"/>
    <w:rsid w:val="00B9762E"/>
    <w:rsid w:val="00BA4E9C"/>
    <w:rsid w:val="00BB3B8C"/>
    <w:rsid w:val="00BE2B6A"/>
    <w:rsid w:val="00C15613"/>
    <w:rsid w:val="00C15AC6"/>
    <w:rsid w:val="00C201CC"/>
    <w:rsid w:val="00C304D6"/>
    <w:rsid w:val="00C33AA8"/>
    <w:rsid w:val="00C47DE1"/>
    <w:rsid w:val="00C62F6F"/>
    <w:rsid w:val="00C63064"/>
    <w:rsid w:val="00C67E2F"/>
    <w:rsid w:val="00C7288A"/>
    <w:rsid w:val="00C74754"/>
    <w:rsid w:val="00C762D2"/>
    <w:rsid w:val="00C77CDB"/>
    <w:rsid w:val="00C800D4"/>
    <w:rsid w:val="00C86B2F"/>
    <w:rsid w:val="00C931E2"/>
    <w:rsid w:val="00CA2BD2"/>
    <w:rsid w:val="00CA655F"/>
    <w:rsid w:val="00CA6A13"/>
    <w:rsid w:val="00CA7994"/>
    <w:rsid w:val="00CA7DCD"/>
    <w:rsid w:val="00CB41CB"/>
    <w:rsid w:val="00CB7BDB"/>
    <w:rsid w:val="00CC353C"/>
    <w:rsid w:val="00CE4555"/>
    <w:rsid w:val="00CE4748"/>
    <w:rsid w:val="00CE49C9"/>
    <w:rsid w:val="00CE5BFE"/>
    <w:rsid w:val="00CE698E"/>
    <w:rsid w:val="00CF1758"/>
    <w:rsid w:val="00D04876"/>
    <w:rsid w:val="00D2029B"/>
    <w:rsid w:val="00D24215"/>
    <w:rsid w:val="00D772E7"/>
    <w:rsid w:val="00D77A83"/>
    <w:rsid w:val="00D82373"/>
    <w:rsid w:val="00D97824"/>
    <w:rsid w:val="00DB4E9B"/>
    <w:rsid w:val="00DC3617"/>
    <w:rsid w:val="00DC583B"/>
    <w:rsid w:val="00DC7E80"/>
    <w:rsid w:val="00DD78AF"/>
    <w:rsid w:val="00DE6D26"/>
    <w:rsid w:val="00DF2FE6"/>
    <w:rsid w:val="00E1118D"/>
    <w:rsid w:val="00E417F5"/>
    <w:rsid w:val="00E4696A"/>
    <w:rsid w:val="00E66AF6"/>
    <w:rsid w:val="00E85753"/>
    <w:rsid w:val="00E85B0F"/>
    <w:rsid w:val="00E96FD4"/>
    <w:rsid w:val="00EA35D4"/>
    <w:rsid w:val="00EA551F"/>
    <w:rsid w:val="00EA57CD"/>
    <w:rsid w:val="00EB6621"/>
    <w:rsid w:val="00EC1145"/>
    <w:rsid w:val="00EC5149"/>
    <w:rsid w:val="00ED0E45"/>
    <w:rsid w:val="00EE44DE"/>
    <w:rsid w:val="00EE5447"/>
    <w:rsid w:val="00EF7F25"/>
    <w:rsid w:val="00F00A28"/>
    <w:rsid w:val="00F00E1C"/>
    <w:rsid w:val="00F02BEF"/>
    <w:rsid w:val="00F0499A"/>
    <w:rsid w:val="00F068BE"/>
    <w:rsid w:val="00F15543"/>
    <w:rsid w:val="00F23713"/>
    <w:rsid w:val="00F40BDA"/>
    <w:rsid w:val="00F4198C"/>
    <w:rsid w:val="00F4588D"/>
    <w:rsid w:val="00F551AA"/>
    <w:rsid w:val="00F73BC7"/>
    <w:rsid w:val="00F7567F"/>
    <w:rsid w:val="00F77D06"/>
    <w:rsid w:val="00F81527"/>
    <w:rsid w:val="00F873F3"/>
    <w:rsid w:val="00F9718A"/>
    <w:rsid w:val="00FB479C"/>
    <w:rsid w:val="00FD6001"/>
    <w:rsid w:val="00FE3CF1"/>
    <w:rsid w:val="00FF0822"/>
    <w:rsid w:val="01517B03"/>
    <w:rsid w:val="016D49C2"/>
    <w:rsid w:val="01B06777"/>
    <w:rsid w:val="02096D1A"/>
    <w:rsid w:val="031BFA13"/>
    <w:rsid w:val="037179DF"/>
    <w:rsid w:val="03D499D6"/>
    <w:rsid w:val="0456ACC3"/>
    <w:rsid w:val="0461ACEE"/>
    <w:rsid w:val="052EFE24"/>
    <w:rsid w:val="05797D35"/>
    <w:rsid w:val="0580A7F6"/>
    <w:rsid w:val="05C6CECE"/>
    <w:rsid w:val="06729DC3"/>
    <w:rsid w:val="06B8C1E1"/>
    <w:rsid w:val="080D45F2"/>
    <w:rsid w:val="081FA8FB"/>
    <w:rsid w:val="0855C8B6"/>
    <w:rsid w:val="08986ED4"/>
    <w:rsid w:val="08AA1011"/>
    <w:rsid w:val="08CA7FAE"/>
    <w:rsid w:val="08E08F4F"/>
    <w:rsid w:val="090BEBC1"/>
    <w:rsid w:val="09BB795C"/>
    <w:rsid w:val="0A3464F7"/>
    <w:rsid w:val="0A6B3F7A"/>
    <w:rsid w:val="0B46C52A"/>
    <w:rsid w:val="0B78B47D"/>
    <w:rsid w:val="0C13D795"/>
    <w:rsid w:val="0C2AFAA5"/>
    <w:rsid w:val="0D7E6F80"/>
    <w:rsid w:val="0D8C291A"/>
    <w:rsid w:val="0DC9C157"/>
    <w:rsid w:val="0E42E2A4"/>
    <w:rsid w:val="0E6ED874"/>
    <w:rsid w:val="0E7DAFA8"/>
    <w:rsid w:val="0F16FF7A"/>
    <w:rsid w:val="0F2207A5"/>
    <w:rsid w:val="0F689130"/>
    <w:rsid w:val="0FA30967"/>
    <w:rsid w:val="10EF292F"/>
    <w:rsid w:val="1124EA94"/>
    <w:rsid w:val="11AA050B"/>
    <w:rsid w:val="11D5A1C7"/>
    <w:rsid w:val="11DA2AB6"/>
    <w:rsid w:val="128F4FAE"/>
    <w:rsid w:val="12A125D7"/>
    <w:rsid w:val="12E917E1"/>
    <w:rsid w:val="13706831"/>
    <w:rsid w:val="13A34F4C"/>
    <w:rsid w:val="13BF8492"/>
    <w:rsid w:val="1419BCFF"/>
    <w:rsid w:val="14B489B4"/>
    <w:rsid w:val="14F7A6FC"/>
    <w:rsid w:val="14FC6C59"/>
    <w:rsid w:val="151704E9"/>
    <w:rsid w:val="159E20D3"/>
    <w:rsid w:val="1672C910"/>
    <w:rsid w:val="16CDC033"/>
    <w:rsid w:val="16DF377A"/>
    <w:rsid w:val="16FE4891"/>
    <w:rsid w:val="17460D98"/>
    <w:rsid w:val="17700A31"/>
    <w:rsid w:val="17938196"/>
    <w:rsid w:val="181261B6"/>
    <w:rsid w:val="1884ECA4"/>
    <w:rsid w:val="18905E7B"/>
    <w:rsid w:val="189AE849"/>
    <w:rsid w:val="1A4FAE5F"/>
    <w:rsid w:val="1B197826"/>
    <w:rsid w:val="1BE85160"/>
    <w:rsid w:val="1C007D9E"/>
    <w:rsid w:val="1C2A54EB"/>
    <w:rsid w:val="1C488D1A"/>
    <w:rsid w:val="1C56EDC6"/>
    <w:rsid w:val="1CFA66B4"/>
    <w:rsid w:val="1D05C743"/>
    <w:rsid w:val="1D2F5ECB"/>
    <w:rsid w:val="1F2282D3"/>
    <w:rsid w:val="1FC516C6"/>
    <w:rsid w:val="20059850"/>
    <w:rsid w:val="20395D84"/>
    <w:rsid w:val="20C12C67"/>
    <w:rsid w:val="211954EF"/>
    <w:rsid w:val="21998542"/>
    <w:rsid w:val="21D335A7"/>
    <w:rsid w:val="21F0B63B"/>
    <w:rsid w:val="220B46E2"/>
    <w:rsid w:val="2214952E"/>
    <w:rsid w:val="22A60ECA"/>
    <w:rsid w:val="23F0D583"/>
    <w:rsid w:val="24349D82"/>
    <w:rsid w:val="244B98DC"/>
    <w:rsid w:val="245B0F3F"/>
    <w:rsid w:val="24B8624E"/>
    <w:rsid w:val="24D35CA4"/>
    <w:rsid w:val="25DDAF8C"/>
    <w:rsid w:val="26E2E7DE"/>
    <w:rsid w:val="274D219A"/>
    <w:rsid w:val="275B732F"/>
    <w:rsid w:val="2872AA4D"/>
    <w:rsid w:val="28A6E193"/>
    <w:rsid w:val="2982CD8D"/>
    <w:rsid w:val="29C9427C"/>
    <w:rsid w:val="2A3F33F5"/>
    <w:rsid w:val="2A3F65CD"/>
    <w:rsid w:val="2AC25B86"/>
    <w:rsid w:val="2B062A43"/>
    <w:rsid w:val="2CDB3BCA"/>
    <w:rsid w:val="2D23D893"/>
    <w:rsid w:val="2D2DB982"/>
    <w:rsid w:val="2DA00EC0"/>
    <w:rsid w:val="2DE8C171"/>
    <w:rsid w:val="2E9F482A"/>
    <w:rsid w:val="2F079066"/>
    <w:rsid w:val="2F345B17"/>
    <w:rsid w:val="2F4499CF"/>
    <w:rsid w:val="2FBA1A15"/>
    <w:rsid w:val="3033C93B"/>
    <w:rsid w:val="3091B3CB"/>
    <w:rsid w:val="30E5BC6D"/>
    <w:rsid w:val="31233610"/>
    <w:rsid w:val="317D18A4"/>
    <w:rsid w:val="32C98787"/>
    <w:rsid w:val="32EF535A"/>
    <w:rsid w:val="3355CE70"/>
    <w:rsid w:val="33CFE052"/>
    <w:rsid w:val="33D379A5"/>
    <w:rsid w:val="33EF9564"/>
    <w:rsid w:val="34413F36"/>
    <w:rsid w:val="3487660E"/>
    <w:rsid w:val="34A6BE2D"/>
    <w:rsid w:val="34BAD9AC"/>
    <w:rsid w:val="34DA70A6"/>
    <w:rsid w:val="34E977F1"/>
    <w:rsid w:val="3522F271"/>
    <w:rsid w:val="352C40BD"/>
    <w:rsid w:val="35447698"/>
    <w:rsid w:val="35CF1555"/>
    <w:rsid w:val="35EF39B0"/>
    <w:rsid w:val="360F69EE"/>
    <w:rsid w:val="36151FE2"/>
    <w:rsid w:val="363B2DE8"/>
    <w:rsid w:val="3698ACA0"/>
    <w:rsid w:val="36CA2D8C"/>
    <w:rsid w:val="36CDDD32"/>
    <w:rsid w:val="3735BC80"/>
    <w:rsid w:val="37624945"/>
    <w:rsid w:val="376BD306"/>
    <w:rsid w:val="3783FF44"/>
    <w:rsid w:val="3849BD03"/>
    <w:rsid w:val="3865FDED"/>
    <w:rsid w:val="38E02AF3"/>
    <w:rsid w:val="391975B6"/>
    <w:rsid w:val="39731922"/>
    <w:rsid w:val="39D3566E"/>
    <w:rsid w:val="39EEDBB0"/>
    <w:rsid w:val="39F501D3"/>
    <w:rsid w:val="3A505E98"/>
    <w:rsid w:val="3A76119F"/>
    <w:rsid w:val="3B8DCFFF"/>
    <w:rsid w:val="3BD35E66"/>
    <w:rsid w:val="3C8A5897"/>
    <w:rsid w:val="3CA54568"/>
    <w:rsid w:val="3CC568C9"/>
    <w:rsid w:val="3CDB5BA9"/>
    <w:rsid w:val="3D0E251C"/>
    <w:rsid w:val="3D7C2158"/>
    <w:rsid w:val="3DFEE53B"/>
    <w:rsid w:val="3EEABAA8"/>
    <w:rsid w:val="3F0B4CC7"/>
    <w:rsid w:val="3F6EC58F"/>
    <w:rsid w:val="3FF5E747"/>
    <w:rsid w:val="414FE6EE"/>
    <w:rsid w:val="4159353A"/>
    <w:rsid w:val="42F07F23"/>
    <w:rsid w:val="43349114"/>
    <w:rsid w:val="43ACF0F4"/>
    <w:rsid w:val="43B4B267"/>
    <w:rsid w:val="44221EE4"/>
    <w:rsid w:val="44879343"/>
    <w:rsid w:val="44CFB25A"/>
    <w:rsid w:val="44D06175"/>
    <w:rsid w:val="4548C155"/>
    <w:rsid w:val="45501763"/>
    <w:rsid w:val="455AD7CB"/>
    <w:rsid w:val="4561E9B2"/>
    <w:rsid w:val="4566AB35"/>
    <w:rsid w:val="4572D138"/>
    <w:rsid w:val="4589C203"/>
    <w:rsid w:val="45E492D8"/>
    <w:rsid w:val="471DEF33"/>
    <w:rsid w:val="47BBA9AC"/>
    <w:rsid w:val="484F6F44"/>
    <w:rsid w:val="488DE77D"/>
    <w:rsid w:val="490DE288"/>
    <w:rsid w:val="49E13B57"/>
    <w:rsid w:val="4A355AD5"/>
    <w:rsid w:val="4A812DC4"/>
    <w:rsid w:val="4BAF7AFC"/>
    <w:rsid w:val="4BF8F79A"/>
    <w:rsid w:val="4C4489A2"/>
    <w:rsid w:val="4CA24C68"/>
    <w:rsid w:val="4CC19050"/>
    <w:rsid w:val="4D53D33A"/>
    <w:rsid w:val="4D751FC6"/>
    <w:rsid w:val="4E2B7599"/>
    <w:rsid w:val="4E4D9E47"/>
    <w:rsid w:val="4E6F9ABB"/>
    <w:rsid w:val="4EDD35FA"/>
    <w:rsid w:val="4EF9F4C4"/>
    <w:rsid w:val="4FDD1458"/>
    <w:rsid w:val="5032172E"/>
    <w:rsid w:val="50D985A0"/>
    <w:rsid w:val="512A0806"/>
    <w:rsid w:val="5204008C"/>
    <w:rsid w:val="5233F366"/>
    <w:rsid w:val="5259A66D"/>
    <w:rsid w:val="52DAA00E"/>
    <w:rsid w:val="52E50383"/>
    <w:rsid w:val="5385DF42"/>
    <w:rsid w:val="55E5B28D"/>
    <w:rsid w:val="56397FB5"/>
    <w:rsid w:val="56723D30"/>
    <w:rsid w:val="56A7E477"/>
    <w:rsid w:val="571DFC35"/>
    <w:rsid w:val="57228DD1"/>
    <w:rsid w:val="57EEB37E"/>
    <w:rsid w:val="5819470C"/>
    <w:rsid w:val="589685E1"/>
    <w:rsid w:val="58BE5E32"/>
    <w:rsid w:val="58FFFD0D"/>
    <w:rsid w:val="59953175"/>
    <w:rsid w:val="59B1F03F"/>
    <w:rsid w:val="59EAA485"/>
    <w:rsid w:val="59EF4420"/>
    <w:rsid w:val="5B9C05DB"/>
    <w:rsid w:val="5CE72B9D"/>
    <w:rsid w:val="5D69F704"/>
    <w:rsid w:val="5DCBACBD"/>
    <w:rsid w:val="5DEC94A2"/>
    <w:rsid w:val="5E975859"/>
    <w:rsid w:val="5EB9BF8A"/>
    <w:rsid w:val="5EBDD83F"/>
    <w:rsid w:val="5ECB91D9"/>
    <w:rsid w:val="5F1B09DE"/>
    <w:rsid w:val="5F48CCD4"/>
    <w:rsid w:val="5FE2D606"/>
    <w:rsid w:val="5FF7FE78"/>
    <w:rsid w:val="60330412"/>
    <w:rsid w:val="60410F12"/>
    <w:rsid w:val="608283CE"/>
    <w:rsid w:val="60A197C6"/>
    <w:rsid w:val="61B3CD70"/>
    <w:rsid w:val="61B9508D"/>
    <w:rsid w:val="62D743E3"/>
    <w:rsid w:val="6321EA76"/>
    <w:rsid w:val="6349C2BD"/>
    <w:rsid w:val="6359036B"/>
    <w:rsid w:val="63E1260E"/>
    <w:rsid w:val="64AFD0F0"/>
    <w:rsid w:val="64BEBE36"/>
    <w:rsid w:val="64C496D3"/>
    <w:rsid w:val="64CB6EA2"/>
    <w:rsid w:val="64CEA2DF"/>
    <w:rsid w:val="65F710FA"/>
    <w:rsid w:val="66227427"/>
    <w:rsid w:val="6632231E"/>
    <w:rsid w:val="6663DA6C"/>
    <w:rsid w:val="670A8714"/>
    <w:rsid w:val="6718C6D0"/>
    <w:rsid w:val="67D9A94A"/>
    <w:rsid w:val="67F50B28"/>
    <w:rsid w:val="680D28F2"/>
    <w:rsid w:val="68902F08"/>
    <w:rsid w:val="68A06DC0"/>
    <w:rsid w:val="68A54D7E"/>
    <w:rsid w:val="68ABE814"/>
    <w:rsid w:val="6936A8DF"/>
    <w:rsid w:val="69BF9006"/>
    <w:rsid w:val="6AB1EF4D"/>
    <w:rsid w:val="6AEFC4EA"/>
    <w:rsid w:val="6AFF3B4D"/>
    <w:rsid w:val="6B4AECF3"/>
    <w:rsid w:val="6B92801B"/>
    <w:rsid w:val="6C4DBFAE"/>
    <w:rsid w:val="6CDE6D12"/>
    <w:rsid w:val="6D389363"/>
    <w:rsid w:val="6E422DB4"/>
    <w:rsid w:val="6E838BBF"/>
    <w:rsid w:val="6F66AB53"/>
    <w:rsid w:val="6F9701D9"/>
    <w:rsid w:val="6FFE734B"/>
    <w:rsid w:val="700FAE22"/>
    <w:rsid w:val="702677D9"/>
    <w:rsid w:val="70655C3D"/>
    <w:rsid w:val="70CBC2C0"/>
    <w:rsid w:val="70E391DB"/>
    <w:rsid w:val="711A4349"/>
    <w:rsid w:val="715D0E30"/>
    <w:rsid w:val="71EA5512"/>
    <w:rsid w:val="7258BDAE"/>
    <w:rsid w:val="73915EEC"/>
    <w:rsid w:val="73F3F790"/>
    <w:rsid w:val="7586096D"/>
    <w:rsid w:val="75C5A761"/>
    <w:rsid w:val="7648476B"/>
    <w:rsid w:val="766DB4CF"/>
    <w:rsid w:val="76C3F7EB"/>
    <w:rsid w:val="76D7F549"/>
    <w:rsid w:val="78963B58"/>
    <w:rsid w:val="78A20189"/>
    <w:rsid w:val="79994B7C"/>
    <w:rsid w:val="79A850AC"/>
    <w:rsid w:val="79CA07A4"/>
    <w:rsid w:val="79F9FA7E"/>
    <w:rsid w:val="7AA279A2"/>
    <w:rsid w:val="7AABBADF"/>
    <w:rsid w:val="7B155E1E"/>
    <w:rsid w:val="7B4EEA24"/>
    <w:rsid w:val="7B572560"/>
    <w:rsid w:val="7B62E3A8"/>
    <w:rsid w:val="7BD06CCB"/>
    <w:rsid w:val="7C6BD0FE"/>
    <w:rsid w:val="7C8591C3"/>
    <w:rsid w:val="7CC5CEE6"/>
    <w:rsid w:val="7D040646"/>
    <w:rsid w:val="7D2B07F7"/>
    <w:rsid w:val="7D411B42"/>
    <w:rsid w:val="7D622497"/>
    <w:rsid w:val="7DE13286"/>
    <w:rsid w:val="7DF08298"/>
    <w:rsid w:val="7E70D92E"/>
    <w:rsid w:val="7E8F3441"/>
    <w:rsid w:val="7F4E7CE9"/>
    <w:rsid w:val="7F5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0183"/>
  <w15:chartTrackingRefBased/>
  <w15:docId w15:val="{FDF8AB6C-4B50-4BDC-93E6-09522D0F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E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03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034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201A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0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5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73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57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E857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43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0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E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DC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DC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2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838bea-bcac-41ad-91f9-c646e9be633d">
      <UserInfo>
        <DisplayName>Laurie Davidson</DisplayName>
        <AccountId>201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3" ma:contentTypeDescription="Create a new document." ma:contentTypeScope="" ma:versionID="d56aa18cb80866799a8dc3b949bef095">
  <xsd:schema xmlns:xsd="http://www.w3.org/2001/XMLSchema" xmlns:xs="http://www.w3.org/2001/XMLSchema" xmlns:p="http://schemas.microsoft.com/office/2006/metadata/properties" xmlns:ns2="7a063f01-faea-4c9e-8a02-d223cffde0c5" xmlns:ns3="d8838bea-bcac-41ad-91f9-c646e9be633d" targetNamespace="http://schemas.microsoft.com/office/2006/metadata/properties" ma:root="true" ma:fieldsID="ada56d5b68bd5688c90fe22c3424341e" ns2:_="" ns3:_=""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3112C-387F-4B8E-BAFD-D7F8FD95337F}">
  <ds:schemaRefs>
    <ds:schemaRef ds:uri="http://schemas.microsoft.com/office/2006/metadata/properties"/>
    <ds:schemaRef ds:uri="http://schemas.microsoft.com/office/infopath/2007/PartnerControls"/>
    <ds:schemaRef ds:uri="d8838bea-bcac-41ad-91f9-c646e9be633d"/>
  </ds:schemaRefs>
</ds:datastoreItem>
</file>

<file path=customXml/itemProps2.xml><?xml version="1.0" encoding="utf-8"?>
<ds:datastoreItem xmlns:ds="http://schemas.openxmlformats.org/officeDocument/2006/customXml" ds:itemID="{413BC15E-1299-48AB-984B-787E5704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A7F74-023D-4D72-B772-5B3B02EE4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Davidson</dc:creator>
  <cp:keywords/>
  <dc:description/>
  <cp:lastModifiedBy>Jessica  Desormeaux</cp:lastModifiedBy>
  <cp:revision>6</cp:revision>
  <cp:lastPrinted>2022-03-07T15:50:00Z</cp:lastPrinted>
  <dcterms:created xsi:type="dcterms:W3CDTF">2024-06-13T19:45:00Z</dcterms:created>
  <dcterms:modified xsi:type="dcterms:W3CDTF">2025-03-26T15:25:00Z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</Properties>
</file>